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firstLine="0" w:firstLineChars="0"/>
        <w:rPr>
          <w:rFonts w:ascii="Times New Roman"/>
        </w:rPr>
      </w:pPr>
      <w:r>
        <w:rPr>
          <w:rFonts w:ascii="Times New Roman"/>
        </w:rPr>
        <w:t xml:space="preserve">ICS 67. 200. 10  </w:t>
      </w:r>
    </w:p>
    <w:p>
      <w:pPr>
        <w:pStyle w:val="15"/>
        <w:framePr w:hSpace="0" w:vSpace="0" w:wrap="auto" w:vAnchor="margin" w:hAnchor="text" w:yAlign="inline"/>
        <w:tabs>
          <w:tab w:val="left" w:pos="9360"/>
        </w:tabs>
        <w:outlineLvl w:val="0"/>
        <w:rPr>
          <w:rFonts w:ascii="Times New Roman"/>
        </w:rPr>
      </w:pPr>
      <w:r>
        <w:rPr>
          <w:rFonts w:ascii="Times New Roman"/>
        </w:rPr>
        <w:t xml:space="preserve">CCS x14 </w:t>
      </w:r>
    </w:p>
    <w:p>
      <w:pPr>
        <w:rPr>
          <w:sz w:val="32"/>
          <w:szCs w:val="20"/>
        </w:rPr>
      </w:pPr>
    </w:p>
    <w:p>
      <w:pPr>
        <w:ind w:firstLine="242" w:firstLineChars="23"/>
        <w:rPr>
          <w:rFonts w:eastAsia="黑体"/>
          <w:b/>
          <w:bCs/>
          <w:snapToGrid w:val="0"/>
          <w:spacing w:val="164"/>
          <w:kern w:val="0"/>
          <w:sz w:val="72"/>
          <w:szCs w:val="72"/>
        </w:rPr>
      </w:pPr>
      <w:r>
        <w:rPr>
          <w:rFonts w:hint="eastAsia" w:eastAsia="黑体"/>
          <w:b/>
          <w:bCs/>
          <w:snapToGrid w:val="0"/>
          <w:spacing w:val="164"/>
          <w:kern w:val="0"/>
          <w:sz w:val="72"/>
          <w:szCs w:val="72"/>
        </w:rPr>
        <w:t>团</w:t>
      </w:r>
      <w:r>
        <w:rPr>
          <w:rFonts w:eastAsia="黑体"/>
          <w:b/>
          <w:bCs/>
          <w:snapToGrid w:val="0"/>
          <w:spacing w:val="164"/>
          <w:kern w:val="0"/>
          <w:sz w:val="72"/>
          <w:szCs w:val="72"/>
        </w:rPr>
        <w:t xml:space="preserve">  </w:t>
      </w:r>
      <w:r>
        <w:rPr>
          <w:rFonts w:hint="eastAsia" w:eastAsia="黑体"/>
          <w:b/>
          <w:bCs/>
          <w:snapToGrid w:val="0"/>
          <w:spacing w:val="164"/>
          <w:kern w:val="0"/>
          <w:sz w:val="72"/>
          <w:szCs w:val="72"/>
        </w:rPr>
        <w:t>体</w:t>
      </w:r>
      <w:r>
        <w:rPr>
          <w:rFonts w:eastAsia="黑体"/>
          <w:b/>
          <w:bCs/>
          <w:snapToGrid w:val="0"/>
          <w:spacing w:val="164"/>
          <w:kern w:val="0"/>
          <w:sz w:val="72"/>
          <w:szCs w:val="72"/>
        </w:rPr>
        <w:t xml:space="preserve">  </w:t>
      </w:r>
      <w:r>
        <w:rPr>
          <w:rFonts w:hint="eastAsia" w:eastAsia="黑体"/>
          <w:b/>
          <w:bCs/>
          <w:snapToGrid w:val="0"/>
          <w:spacing w:val="164"/>
          <w:kern w:val="0"/>
          <w:sz w:val="72"/>
          <w:szCs w:val="72"/>
        </w:rPr>
        <w:t>标</w:t>
      </w:r>
      <w:r>
        <w:rPr>
          <w:rFonts w:eastAsia="黑体"/>
          <w:b/>
          <w:bCs/>
          <w:snapToGrid w:val="0"/>
          <w:spacing w:val="164"/>
          <w:kern w:val="0"/>
          <w:sz w:val="72"/>
          <w:szCs w:val="72"/>
        </w:rPr>
        <w:t xml:space="preserve">  </w:t>
      </w:r>
      <w:r>
        <w:rPr>
          <w:rFonts w:hint="eastAsia" w:eastAsia="黑体"/>
          <w:b/>
          <w:bCs/>
          <w:snapToGrid w:val="0"/>
          <w:spacing w:val="164"/>
          <w:kern w:val="0"/>
          <w:sz w:val="72"/>
          <w:szCs w:val="72"/>
        </w:rPr>
        <w:t>准</w:t>
      </w:r>
    </w:p>
    <w:p>
      <w:pPr>
        <w:wordWrap w:val="0"/>
        <w:ind w:right="700" w:firstLine="3080" w:firstLineChars="1100"/>
        <w:jc w:val="right"/>
        <w:rPr>
          <w:rFonts w:eastAsia="黑体"/>
          <w:sz w:val="28"/>
          <w:szCs w:val="28"/>
        </w:rPr>
      </w:pPr>
      <w:r>
        <w:rPr>
          <w:rFonts w:eastAsia="黑体"/>
          <w:sz w:val="28"/>
          <w:szCs w:val="28"/>
        </w:rPr>
        <w:t xml:space="preserve">T/CCOA </w:t>
      </w:r>
      <w:r>
        <w:rPr>
          <w:rFonts w:hint="eastAsia" w:eastAsia="黑体"/>
          <w:sz w:val="28"/>
          <w:szCs w:val="28"/>
          <w:lang w:val="en-US" w:eastAsia="zh-CN"/>
        </w:rPr>
        <w:t>xx</w:t>
      </w:r>
      <w:r>
        <w:rPr>
          <w:rFonts w:eastAsia="黑体"/>
          <w:sz w:val="28"/>
          <w:szCs w:val="28"/>
        </w:rPr>
        <w:t>—20xx</w:t>
      </w:r>
    </w:p>
    <w:p>
      <w:pPr>
        <w:ind w:firstLine="48" w:firstLineChars="23"/>
        <w:jc w:val="right"/>
        <w:rPr>
          <w:rFonts w:eastAsia="黑体"/>
          <w:b/>
          <w:bCs/>
          <w:spacing w:val="164"/>
          <w:sz w:val="28"/>
          <w:szCs w:val="28"/>
        </w:rPr>
      </w:pPr>
      <w: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54610</wp:posOffset>
                </wp:positionV>
                <wp:extent cx="5819775" cy="0"/>
                <wp:effectExtent l="0" t="0" r="28575" b="19050"/>
                <wp:wrapNone/>
                <wp:docPr id="2"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line">
                          <a:avLst/>
                        </a:prstGeom>
                        <a:noFill/>
                        <a:ln w="9525">
                          <a:solidFill>
                            <a:srgbClr val="000000"/>
                          </a:solidFill>
                          <a:round/>
                        </a:ln>
                        <a:effectLst/>
                      </wps:spPr>
                      <wps:bodyPr/>
                    </wps:wsp>
                  </a:graphicData>
                </a:graphic>
              </wp:anchor>
            </w:drawing>
          </mc:Choice>
          <mc:Fallback>
            <w:pict>
              <v:line id="直接连接符 4" o:spid="_x0000_s1026" o:spt="20" style="position:absolute;left:0pt;margin-left:1.5pt;margin-top:4.3pt;height:0pt;width:458.25pt;z-index:251659264;mso-width-relative:page;mso-height-relative:page;" filled="f" stroked="t" coordsize="21600,21600" o:gfxdata="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hbvUtQA&#10;AAAFAQAADwAAAAAAAAABACAAAAAiAAAAZHJzL2Rvd25yZXYueG1sUEsBAhQAFAAAAAgAh07iQMN7&#10;uYHqAQAAuAMAAA4AAAAAAAAAAQAgAAAAIwEAAGRycy9lMm9Eb2MueG1sUEsFBgAAAAAGAAYAWQEA&#10;AH8FAAAAAA==&#10;">
                <v:fill on="f" focussize="0,0"/>
                <v:stroke color="#000000" joinstyle="round"/>
                <v:imagedata o:title=""/>
                <o:lock v:ext="edit" aspectratio="f"/>
              </v:line>
            </w:pict>
          </mc:Fallback>
        </mc:AlternateContent>
      </w:r>
    </w:p>
    <w:p>
      <w:pPr>
        <w:spacing w:line="240" w:lineRule="exact"/>
        <w:ind w:firstLine="883"/>
        <w:rPr>
          <w:b/>
          <w:bCs/>
          <w:sz w:val="44"/>
          <w:szCs w:val="20"/>
        </w:rPr>
      </w:pPr>
    </w:p>
    <w:p>
      <w:pPr>
        <w:ind w:firstLine="1040"/>
        <w:rPr>
          <w:sz w:val="52"/>
          <w:szCs w:val="20"/>
        </w:rPr>
      </w:pPr>
    </w:p>
    <w:p>
      <w:pPr>
        <w:spacing w:line="800" w:lineRule="exact"/>
        <w:ind w:firstLine="1040"/>
        <w:rPr>
          <w:sz w:val="52"/>
          <w:szCs w:val="20"/>
        </w:rPr>
      </w:pPr>
    </w:p>
    <w:p>
      <w:pPr>
        <w:spacing w:line="800" w:lineRule="exact"/>
        <w:ind w:firstLine="1044"/>
        <w:jc w:val="center"/>
        <w:rPr>
          <w:rFonts w:eastAsia="黑体"/>
          <w:b/>
          <w:bCs/>
          <w:sz w:val="52"/>
          <w:szCs w:val="20"/>
        </w:rPr>
      </w:pPr>
    </w:p>
    <w:p>
      <w:pPr>
        <w:spacing w:line="1000" w:lineRule="exact"/>
        <w:jc w:val="center"/>
        <w:rPr>
          <w:rFonts w:eastAsia="黑体"/>
          <w:b/>
          <w:bCs/>
          <w:sz w:val="52"/>
          <w:szCs w:val="20"/>
        </w:rPr>
      </w:pPr>
      <w:r>
        <w:rPr>
          <w:rFonts w:hint="eastAsia" w:eastAsia="黑体"/>
          <w:b/>
          <w:bCs/>
          <w:sz w:val="52"/>
          <w:szCs w:val="20"/>
        </w:rPr>
        <w:t>迷迭香油</w:t>
      </w:r>
    </w:p>
    <w:p>
      <w:pPr>
        <w:spacing w:line="1000" w:lineRule="exact"/>
        <w:jc w:val="center"/>
        <w:outlineLvl w:val="0"/>
        <w:rPr>
          <w:rFonts w:eastAsia="黑体"/>
          <w:sz w:val="28"/>
          <w:szCs w:val="20"/>
        </w:rPr>
      </w:pPr>
      <w:r>
        <w:rPr>
          <w:rFonts w:eastAsia="黑体"/>
          <w:sz w:val="28"/>
          <w:szCs w:val="20"/>
        </w:rPr>
        <w:t>Rosemary oil</w:t>
      </w:r>
    </w:p>
    <w:p>
      <w:pPr>
        <w:spacing w:line="1000" w:lineRule="exact"/>
        <w:jc w:val="center"/>
        <w:outlineLvl w:val="0"/>
        <w:rPr>
          <w:rFonts w:eastAsia="黑体"/>
          <w:b/>
          <w:bCs/>
          <w:sz w:val="28"/>
          <w:szCs w:val="20"/>
        </w:rPr>
      </w:pPr>
      <w:r>
        <w:rPr>
          <w:rFonts w:hint="eastAsia" w:eastAsia="黑体"/>
          <w:sz w:val="28"/>
          <w:szCs w:val="20"/>
        </w:rPr>
        <w:t>（征求意见稿）</w:t>
      </w:r>
    </w:p>
    <w:p>
      <w:pPr>
        <w:spacing w:line="1000" w:lineRule="exact"/>
        <w:ind w:firstLine="1040"/>
        <w:rPr>
          <w:snapToGrid w:val="0"/>
          <w:kern w:val="0"/>
          <w:sz w:val="52"/>
        </w:rPr>
      </w:pPr>
    </w:p>
    <w:p>
      <w:pPr>
        <w:spacing w:line="800" w:lineRule="exact"/>
        <w:ind w:firstLine="1040"/>
        <w:rPr>
          <w:sz w:val="52"/>
        </w:rPr>
      </w:pPr>
    </w:p>
    <w:p>
      <w:pPr>
        <w:spacing w:line="800" w:lineRule="exact"/>
        <w:ind w:firstLine="1040"/>
        <w:rPr>
          <w:sz w:val="52"/>
        </w:rPr>
      </w:pPr>
    </w:p>
    <w:p>
      <w:pPr>
        <w:spacing w:line="800" w:lineRule="exact"/>
        <w:ind w:firstLine="1040"/>
        <w:rPr>
          <w:sz w:val="52"/>
        </w:rPr>
      </w:pPr>
    </w:p>
    <w:p>
      <w:pPr>
        <w:spacing w:line="400" w:lineRule="exact"/>
        <w:rPr>
          <w:sz w:val="52"/>
        </w:rPr>
      </w:pPr>
    </w:p>
    <w:p>
      <w:pPr>
        <w:spacing w:line="400" w:lineRule="exact"/>
      </w:pPr>
    </w:p>
    <w:p>
      <w:pPr>
        <w:spacing w:line="400" w:lineRule="exact"/>
        <w:ind w:firstLine="420"/>
      </w:pPr>
    </w:p>
    <w:p>
      <w:pPr>
        <w:spacing w:line="280" w:lineRule="exact"/>
        <w:rPr>
          <w:rFonts w:eastAsia="黑体"/>
          <w:b/>
          <w:bCs/>
          <w:sz w:val="28"/>
          <w:szCs w:val="20"/>
        </w:rPr>
      </w:pPr>
      <w:r>
        <w:rPr>
          <w:rFonts w:eastAsia="黑体"/>
          <w:b/>
          <w:bCs/>
          <w:sz w:val="28"/>
          <w:szCs w:val="20"/>
        </w:rPr>
        <w:t>20xx-xx-xx</w:t>
      </w:r>
      <w:r>
        <w:rPr>
          <w:rFonts w:eastAsia="黑体"/>
          <w:b/>
          <w:bCs/>
          <w:sz w:val="18"/>
          <w:szCs w:val="20"/>
        </w:rPr>
        <w:t xml:space="preserve"> </w:t>
      </w:r>
      <w:r>
        <w:rPr>
          <w:rFonts w:hint="eastAsia" w:eastAsia="黑体"/>
          <w:b/>
          <w:bCs/>
          <w:sz w:val="28"/>
          <w:szCs w:val="20"/>
        </w:rPr>
        <w:t>发布</w:t>
      </w:r>
      <w:r>
        <w:rPr>
          <w:rFonts w:eastAsia="黑体"/>
          <w:b/>
          <w:bCs/>
          <w:sz w:val="28"/>
          <w:szCs w:val="20"/>
        </w:rPr>
        <w:t xml:space="preserve">                                   20xx-xx-xx</w:t>
      </w:r>
      <w:r>
        <w:rPr>
          <w:rFonts w:hint="eastAsia" w:eastAsia="黑体"/>
          <w:b/>
          <w:bCs/>
          <w:sz w:val="28"/>
          <w:szCs w:val="20"/>
        </w:rPr>
        <w:t>实施</w:t>
      </w:r>
    </w:p>
    <w:p>
      <w:pPr>
        <w:spacing w:line="280" w:lineRule="exact"/>
        <w:ind w:firstLine="400"/>
        <w:rPr>
          <w:rFonts w:eastAsia="黑体"/>
          <w:sz w:val="28"/>
          <w:szCs w:val="20"/>
        </w:rPr>
      </w:pP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55245</wp:posOffset>
                </wp:positionV>
                <wp:extent cx="5943600" cy="0"/>
                <wp:effectExtent l="0" t="0" r="19050" b="19050"/>
                <wp:wrapNone/>
                <wp:docPr id="1"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ln>
                        <a:effectLst/>
                      </wps:spPr>
                      <wps:bodyPr/>
                    </wps:wsp>
                  </a:graphicData>
                </a:graphic>
              </wp:anchor>
            </w:drawing>
          </mc:Choice>
          <mc:Fallback>
            <w:pict>
              <v:line id="直接连接符 3" o:spid="_x0000_s1026" o:spt="20" style="position:absolute;left:0pt;margin-left:0pt;margin-top:4.35pt;height:0pt;width:468pt;z-index:251660288;mso-width-relative:page;mso-height-relative:page;" filled="f" stroked="t" coordsize="21600,21600" o:gfxdata="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MHABzSAAAA&#10;BAEAAA8AAAAAAAAAAQAgAAAAIgAAAGRycy9kb3ducmV2LnhtbFBLAQIUABQAAAAIAIdO4kDDjHLD&#10;6gEAALgDAAAOAAAAAAAAAAEAIAAAACEBAABkcnMvZTJvRG9jLnhtbFBLBQYAAAAABgAGAFkBAAB9&#10;BQAAAAA=&#10;">
                <v:fill on="f" focussize="0,0"/>
                <v:stroke color="#000000" joinstyle="round"/>
                <v:imagedata o:title=""/>
                <o:lock v:ext="edit" aspectratio="f"/>
              </v:line>
            </w:pict>
          </mc:Fallback>
        </mc:AlternateContent>
      </w:r>
    </w:p>
    <w:p>
      <w:pPr>
        <w:ind w:firstLine="3002" w:firstLineChars="1071"/>
        <w:textAlignment w:val="center"/>
      </w:pPr>
      <w:r>
        <w:rPr>
          <w:rFonts w:hint="eastAsia" w:eastAsia="华文中宋"/>
          <w:b/>
          <w:bCs/>
          <w:sz w:val="28"/>
          <w:szCs w:val="20"/>
        </w:rPr>
        <w:t>中国粮油学会</w:t>
      </w:r>
      <w:r>
        <w:rPr>
          <w:rFonts w:eastAsia="华文中宋"/>
          <w:b/>
          <w:bCs/>
          <w:sz w:val="28"/>
          <w:szCs w:val="20"/>
        </w:rPr>
        <w:t xml:space="preserve">  </w:t>
      </w:r>
      <w:r>
        <w:rPr>
          <w:rFonts w:hint="eastAsia" w:eastAsia="黑体"/>
          <w:sz w:val="28"/>
          <w:szCs w:val="28"/>
        </w:rPr>
        <w:t>发布</w:t>
      </w:r>
    </w:p>
    <w:p>
      <w:pPr>
        <w:widowControl/>
        <w:jc w:val="left"/>
        <w:sectPr>
          <w:pgSz w:w="11906" w:h="16838"/>
          <w:pgMar w:top="567" w:right="850" w:bottom="1134" w:left="1418" w:header="0" w:footer="567" w:gutter="0"/>
          <w:pgNumType w:fmt="upperRoman" w:start="1"/>
          <w:cols w:space="720" w:num="1"/>
          <w:docGrid w:type="lines" w:linePitch="312" w:charSpace="0"/>
        </w:sectPr>
      </w:pPr>
    </w:p>
    <w:p>
      <w:pPr>
        <w:pStyle w:val="14"/>
      </w:pPr>
      <w:r>
        <w:rPr>
          <w:rFonts w:hint="eastAsia"/>
        </w:rPr>
        <w:t>前</w:t>
      </w:r>
      <w:bookmarkStart w:id="0" w:name="BKQY"/>
      <w:r>
        <w:rPr>
          <w:rFonts w:hint="eastAsia" w:hAnsi="黑体"/>
        </w:rPr>
        <w:t>  </w:t>
      </w:r>
      <w:r>
        <w:rPr>
          <w:rFonts w:hint="eastAsia"/>
        </w:rPr>
        <w:t>言</w:t>
      </w:r>
      <w:bookmarkEnd w:id="0"/>
    </w:p>
    <w:p>
      <w:pPr>
        <w:pStyle w:val="9"/>
        <w:rPr>
          <w:rFonts w:ascii="Times New Roman"/>
          <w:color w:val="000000"/>
        </w:rPr>
      </w:pPr>
      <w:r>
        <w:rPr>
          <w:rFonts w:hint="eastAsia" w:ascii="Times New Roman"/>
          <w:color w:val="000000"/>
        </w:rPr>
        <w:t>本文件按照</w:t>
      </w:r>
      <w:r>
        <w:rPr>
          <w:rFonts w:ascii="Times New Roman"/>
          <w:color w:val="000000"/>
        </w:rPr>
        <w:t>GB/T 1.1-2020</w:t>
      </w:r>
      <w:r>
        <w:rPr>
          <w:rFonts w:hint="eastAsia" w:ascii="Times New Roman"/>
          <w:color w:val="000000"/>
        </w:rPr>
        <w:t>《标准化工作导则</w:t>
      </w:r>
      <w:r>
        <w:rPr>
          <w:rFonts w:ascii="Times New Roman"/>
          <w:color w:val="000000"/>
        </w:rPr>
        <w:t xml:space="preserve"> </w:t>
      </w:r>
      <w:r>
        <w:rPr>
          <w:rFonts w:hint="eastAsia" w:ascii="Times New Roman"/>
          <w:color w:val="000000"/>
        </w:rPr>
        <w:t>第</w:t>
      </w:r>
      <w:r>
        <w:rPr>
          <w:rFonts w:ascii="Times New Roman"/>
          <w:color w:val="000000"/>
        </w:rPr>
        <w:t>1</w:t>
      </w:r>
      <w:r>
        <w:rPr>
          <w:rFonts w:hint="eastAsia" w:ascii="Times New Roman"/>
          <w:color w:val="000000"/>
        </w:rPr>
        <w:t>部分：标准化文件的结构和起草规则》的规定起草。</w:t>
      </w:r>
    </w:p>
    <w:p>
      <w:pPr>
        <w:pStyle w:val="9"/>
        <w:rPr>
          <w:rFonts w:ascii="Times New Roman"/>
          <w:color w:val="000000"/>
        </w:rPr>
      </w:pPr>
      <w:r>
        <w:rPr>
          <w:rFonts w:hint="eastAsia" w:ascii="Times New Roman"/>
          <w:color w:val="000000"/>
        </w:rPr>
        <w:t>请注意本文件的某些内容可能涉及专利。本文件的发布机构不承担识别专利的责任。</w:t>
      </w:r>
    </w:p>
    <w:p>
      <w:pPr>
        <w:pStyle w:val="9"/>
      </w:pPr>
      <w:r>
        <w:rPr>
          <w:rFonts w:hint="eastAsia" w:ascii="Times New Roman"/>
          <w:color w:val="000000"/>
        </w:rPr>
        <w:t>本文件由中国粮油学会提出</w:t>
      </w:r>
      <w:r>
        <w:rPr>
          <w:rFonts w:hint="eastAsia"/>
        </w:rPr>
        <w:t>。</w:t>
      </w:r>
    </w:p>
    <w:p>
      <w:pPr>
        <w:pStyle w:val="9"/>
        <w:rPr>
          <w:rFonts w:ascii="Times New Roman"/>
          <w:szCs w:val="24"/>
        </w:rPr>
      </w:pPr>
      <w:bookmarkStart w:id="1" w:name="_Hlk155360516"/>
      <w:r>
        <w:rPr>
          <w:rFonts w:hint="eastAsia" w:ascii="Times New Roman"/>
          <w:szCs w:val="24"/>
        </w:rPr>
        <w:t>本文件起草单位：中南大学，武汉轻工大学，湖南今汉药业有限公司，浙江新市油脂股份有限公司。</w:t>
      </w:r>
    </w:p>
    <w:p>
      <w:pPr>
        <w:pStyle w:val="9"/>
        <w:rPr>
          <w:kern w:val="0"/>
          <w:szCs w:val="20"/>
        </w:rPr>
      </w:pPr>
      <w:r>
        <w:rPr>
          <w:rFonts w:hint="eastAsia" w:ascii="Times New Roman"/>
          <w:szCs w:val="24"/>
        </w:rPr>
        <w:t>本文件主要起草人：高盼，周应军，何东平，曾光尧，葛江长，姜财猛，张陆兴，田华，王孝聪，汤琴，戴立健，杨静</w:t>
      </w:r>
      <w:r>
        <w:rPr>
          <w:rFonts w:hint="eastAsia"/>
        </w:rPr>
        <w:t>。</w:t>
      </w:r>
      <w:bookmarkEnd w:id="1"/>
    </w:p>
    <w:p>
      <w:pPr>
        <w:pStyle w:val="13"/>
        <w:spacing w:before="156" w:after="156"/>
      </w:pPr>
      <w:r>
        <w:rPr>
          <w:rFonts w:hint="eastAsia"/>
        </w:rPr>
        <w:t>迷迭香油</w:t>
      </w:r>
    </w:p>
    <w:p>
      <w:pPr>
        <w:pStyle w:val="12"/>
        <w:numPr>
          <w:ilvl w:val="0"/>
          <w:numId w:val="1"/>
        </w:numPr>
        <w:spacing w:before="156" w:beforeLines="50" w:after="156" w:afterLines="50"/>
        <w:outlineLvl w:val="0"/>
      </w:pPr>
      <w:r>
        <w:rPr>
          <w:rFonts w:hint="eastAsia"/>
        </w:rPr>
        <w:t>范围</w:t>
      </w:r>
    </w:p>
    <w:p>
      <w:pPr>
        <w:pStyle w:val="9"/>
      </w:pPr>
      <w:bookmarkStart w:id="2" w:name="_Hlk120810721"/>
      <w:r>
        <w:rPr>
          <w:rFonts w:hint="eastAsia"/>
        </w:rPr>
        <w:t>本文件界定了迷迭香油的术语和定义，规定了其分类、质量要求、检验方法、检验规则、标签、包装、储存、运输和销售等要求。</w:t>
      </w:r>
    </w:p>
    <w:p>
      <w:pPr>
        <w:pStyle w:val="9"/>
      </w:pPr>
      <w:r>
        <w:rPr>
          <w:rFonts w:hint="eastAsia"/>
        </w:rPr>
        <w:t>本文件适用于成品迷迭香油。</w:t>
      </w:r>
      <w:bookmarkEnd w:id="2"/>
    </w:p>
    <w:p>
      <w:pPr>
        <w:pStyle w:val="12"/>
        <w:numPr>
          <w:ilvl w:val="0"/>
          <w:numId w:val="1"/>
        </w:numPr>
        <w:spacing w:before="156" w:beforeLines="50" w:after="156" w:afterLines="50"/>
        <w:outlineLvl w:val="0"/>
      </w:pPr>
      <w:r>
        <w:rPr>
          <w:rFonts w:hint="eastAsia"/>
        </w:rPr>
        <w:t>规范性引用文件</w:t>
      </w:r>
    </w:p>
    <w:p>
      <w:pPr>
        <w:pStyle w:val="9"/>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autoSpaceDE w:val="0"/>
        <w:autoSpaceDN w:val="0"/>
        <w:ind w:firstLine="420" w:firstLineChars="200"/>
        <w:rPr>
          <w:rFonts w:hint="eastAsia"/>
        </w:rPr>
      </w:pPr>
      <w:bookmarkStart w:id="3" w:name="_Hlk120801315"/>
      <w:r>
        <w:t xml:space="preserve">GB/T 191  </w:t>
      </w:r>
      <w:r>
        <w:rPr>
          <w:rFonts w:hint="eastAsia"/>
        </w:rPr>
        <w:t>包装储运图示标志</w:t>
      </w:r>
    </w:p>
    <w:p>
      <w:pPr>
        <w:autoSpaceDE w:val="0"/>
        <w:autoSpaceDN w:val="0"/>
        <w:ind w:firstLine="420" w:firstLineChars="200"/>
        <w:rPr>
          <w:rFonts w:hint="eastAsia"/>
        </w:rPr>
      </w:pPr>
      <w:r>
        <w:t xml:space="preserve">GB 1886.172 </w:t>
      </w:r>
      <w:r>
        <w:rPr>
          <w:rFonts w:hint="eastAsia"/>
        </w:rPr>
        <w:t>食品安全国家标准食品添加剂</w:t>
      </w:r>
      <w:r>
        <w:t xml:space="preserve"> </w:t>
      </w:r>
      <w:r>
        <w:rPr>
          <w:rFonts w:hint="eastAsia"/>
        </w:rPr>
        <w:t>迷迭香提取物</w:t>
      </w:r>
    </w:p>
    <w:p>
      <w:pPr>
        <w:autoSpaceDE w:val="0"/>
        <w:autoSpaceDN w:val="0"/>
        <w:ind w:firstLine="420" w:firstLineChars="200"/>
      </w:pPr>
      <w:r>
        <w:t xml:space="preserve">GB 2716 </w:t>
      </w:r>
      <w:r>
        <w:rPr>
          <w:rFonts w:hint="eastAsia"/>
        </w:rPr>
        <w:t>食品安全国家标准</w:t>
      </w:r>
      <w:r>
        <w:t xml:space="preserve"> </w:t>
      </w:r>
      <w:r>
        <w:rPr>
          <w:rFonts w:hint="eastAsia"/>
        </w:rPr>
        <w:t>食用植物油</w:t>
      </w:r>
    </w:p>
    <w:p>
      <w:pPr>
        <w:autoSpaceDE w:val="0"/>
        <w:autoSpaceDN w:val="0"/>
        <w:ind w:firstLine="420" w:firstLineChars="200"/>
      </w:pPr>
      <w:r>
        <w:t xml:space="preserve">GB 2760 </w:t>
      </w:r>
      <w:r>
        <w:rPr>
          <w:rFonts w:hint="eastAsia"/>
        </w:rPr>
        <w:t>食品安全国家标准</w:t>
      </w:r>
      <w:r>
        <w:t xml:space="preserve"> </w:t>
      </w:r>
      <w:r>
        <w:rPr>
          <w:rFonts w:hint="eastAsia"/>
        </w:rPr>
        <w:t>食品添加剂使用标准</w:t>
      </w:r>
    </w:p>
    <w:p>
      <w:pPr>
        <w:autoSpaceDE w:val="0"/>
        <w:autoSpaceDN w:val="0"/>
        <w:ind w:firstLine="420" w:firstLineChars="200"/>
      </w:pPr>
      <w:r>
        <w:t xml:space="preserve">GB 2761 </w:t>
      </w:r>
      <w:r>
        <w:rPr>
          <w:rFonts w:hint="eastAsia"/>
        </w:rPr>
        <w:t>食品安全国家标准</w:t>
      </w:r>
      <w:r>
        <w:t xml:space="preserve"> </w:t>
      </w:r>
      <w:r>
        <w:rPr>
          <w:rFonts w:hint="eastAsia"/>
        </w:rPr>
        <w:t>食品中真菌毒素限量</w:t>
      </w:r>
    </w:p>
    <w:p>
      <w:pPr>
        <w:autoSpaceDE w:val="0"/>
        <w:autoSpaceDN w:val="0"/>
        <w:ind w:firstLine="420" w:firstLineChars="200"/>
      </w:pPr>
      <w:r>
        <w:t xml:space="preserve">GB 2762 </w:t>
      </w:r>
      <w:r>
        <w:rPr>
          <w:rFonts w:hint="eastAsia"/>
        </w:rPr>
        <w:t>食品安全国家标准</w:t>
      </w:r>
      <w:r>
        <w:t xml:space="preserve"> </w:t>
      </w:r>
      <w:r>
        <w:rPr>
          <w:rFonts w:hint="eastAsia"/>
        </w:rPr>
        <w:t>食品中污染物限量</w:t>
      </w:r>
    </w:p>
    <w:p>
      <w:pPr>
        <w:autoSpaceDE w:val="0"/>
        <w:autoSpaceDN w:val="0"/>
        <w:ind w:firstLine="420" w:firstLineChars="200"/>
        <w:rPr>
          <w:rFonts w:hint="eastAsia"/>
        </w:rPr>
      </w:pPr>
      <w:r>
        <w:t xml:space="preserve">GB 2763 </w:t>
      </w:r>
      <w:r>
        <w:rPr>
          <w:rFonts w:hint="eastAsia"/>
        </w:rPr>
        <w:t>食品安全国家标准</w:t>
      </w:r>
      <w:r>
        <w:t xml:space="preserve"> </w:t>
      </w:r>
      <w:r>
        <w:rPr>
          <w:rFonts w:hint="eastAsia"/>
        </w:rPr>
        <w:t>食品中农药最大残留限量</w:t>
      </w:r>
    </w:p>
    <w:p>
      <w:pPr>
        <w:autoSpaceDE w:val="0"/>
        <w:autoSpaceDN w:val="0"/>
        <w:ind w:firstLine="420" w:firstLineChars="200"/>
        <w:rPr>
          <w:rFonts w:hint="eastAsia"/>
        </w:rPr>
      </w:pPr>
      <w:r>
        <w:t xml:space="preserve">GB 5009.227  </w:t>
      </w:r>
      <w:r>
        <w:rPr>
          <w:rFonts w:hint="eastAsia"/>
        </w:rPr>
        <w:t>食品安全国家标准</w:t>
      </w:r>
      <w:r>
        <w:t xml:space="preserve"> </w:t>
      </w:r>
      <w:r>
        <w:rPr>
          <w:rFonts w:hint="eastAsia"/>
        </w:rPr>
        <w:t>食品中过氧化值的测定</w:t>
      </w:r>
    </w:p>
    <w:p>
      <w:pPr>
        <w:autoSpaceDE w:val="0"/>
        <w:autoSpaceDN w:val="0"/>
        <w:ind w:firstLine="420" w:firstLineChars="200"/>
        <w:rPr>
          <w:rFonts w:hint="eastAsia"/>
        </w:rPr>
      </w:pPr>
      <w:r>
        <w:t xml:space="preserve">GB 5009.265 </w:t>
      </w:r>
      <w:r>
        <w:rPr>
          <w:rFonts w:hint="eastAsia"/>
        </w:rPr>
        <w:t>食品安全国家标准</w:t>
      </w:r>
      <w:r>
        <w:t xml:space="preserve"> </w:t>
      </w:r>
      <w:r>
        <w:rPr>
          <w:rFonts w:hint="eastAsia"/>
        </w:rPr>
        <w:t>食品中多环芳烃测</w:t>
      </w:r>
      <w:bookmarkStart w:id="11" w:name="_GoBack"/>
      <w:bookmarkEnd w:id="11"/>
    </w:p>
    <w:p>
      <w:pPr>
        <w:autoSpaceDE w:val="0"/>
        <w:autoSpaceDN w:val="0"/>
        <w:ind w:firstLine="420" w:firstLineChars="200"/>
      </w:pPr>
      <w:r>
        <w:t xml:space="preserve">GB/T 5490  </w:t>
      </w:r>
      <w:r>
        <w:rPr>
          <w:rFonts w:hint="eastAsia"/>
        </w:rPr>
        <w:t>粮油检验</w:t>
      </w:r>
      <w:r>
        <w:t xml:space="preserve"> </w:t>
      </w:r>
      <w:r>
        <w:rPr>
          <w:rFonts w:hint="eastAsia"/>
        </w:rPr>
        <w:t>一般规则</w:t>
      </w:r>
    </w:p>
    <w:p>
      <w:pPr>
        <w:autoSpaceDE w:val="0"/>
        <w:autoSpaceDN w:val="0"/>
        <w:ind w:firstLine="420" w:firstLineChars="200"/>
      </w:pPr>
      <w:r>
        <w:t>GB/T 5524</w:t>
      </w:r>
      <w:r>
        <w:rPr>
          <w:rFonts w:hint="eastAsia"/>
        </w:rPr>
        <w:t xml:space="preserve">  </w:t>
      </w:r>
      <w:r>
        <w:t>动植物油脂</w:t>
      </w:r>
      <w:r>
        <w:rPr>
          <w:rFonts w:hint="eastAsia"/>
        </w:rPr>
        <w:t xml:space="preserve"> </w:t>
      </w:r>
      <w:r>
        <w:t>扦样</w:t>
      </w:r>
    </w:p>
    <w:p>
      <w:pPr>
        <w:autoSpaceDE w:val="0"/>
        <w:autoSpaceDN w:val="0"/>
        <w:ind w:firstLine="420" w:firstLineChars="200"/>
      </w:pPr>
      <w:r>
        <w:t xml:space="preserve">GB/T 5525 </w:t>
      </w:r>
      <w:r>
        <w:rPr>
          <w:rFonts w:hint="eastAsia"/>
        </w:rPr>
        <w:t>植物油脂</w:t>
      </w:r>
      <w:r>
        <w:t xml:space="preserve"> </w:t>
      </w:r>
      <w:r>
        <w:rPr>
          <w:rFonts w:hint="eastAsia"/>
        </w:rPr>
        <w:t>透明度、气味、滋味鉴定法</w:t>
      </w:r>
    </w:p>
    <w:p>
      <w:pPr>
        <w:autoSpaceDE w:val="0"/>
        <w:autoSpaceDN w:val="0"/>
        <w:ind w:firstLine="420" w:firstLineChars="200"/>
      </w:pPr>
      <w:r>
        <w:t xml:space="preserve">GB 7718 </w:t>
      </w:r>
      <w:r>
        <w:rPr>
          <w:rFonts w:hint="eastAsia"/>
        </w:rPr>
        <w:t>食品安全国家标准</w:t>
      </w:r>
      <w:r>
        <w:t xml:space="preserve"> </w:t>
      </w:r>
      <w:r>
        <w:rPr>
          <w:rFonts w:hint="eastAsia"/>
        </w:rPr>
        <w:t>预包装食品标签通则</w:t>
      </w:r>
    </w:p>
    <w:p>
      <w:pPr>
        <w:autoSpaceDE w:val="0"/>
        <w:autoSpaceDN w:val="0"/>
        <w:ind w:firstLine="420" w:firstLineChars="200"/>
      </w:pPr>
      <w:r>
        <w:t xml:space="preserve">GB 14880  </w:t>
      </w:r>
      <w:r>
        <w:rPr>
          <w:rFonts w:hint="eastAsia"/>
        </w:rPr>
        <w:t>食品安全国家标准</w:t>
      </w:r>
      <w:r>
        <w:t xml:space="preserve">  </w:t>
      </w:r>
      <w:r>
        <w:rPr>
          <w:rFonts w:hint="eastAsia"/>
        </w:rPr>
        <w:t>食品营养强化剂使用标准</w:t>
      </w:r>
    </w:p>
    <w:p>
      <w:pPr>
        <w:autoSpaceDE w:val="0"/>
        <w:autoSpaceDN w:val="0"/>
        <w:ind w:firstLine="420" w:firstLineChars="200"/>
      </w:pPr>
      <w:r>
        <w:t xml:space="preserve">GB/T 17374 </w:t>
      </w:r>
      <w:r>
        <w:rPr>
          <w:rFonts w:hint="eastAsia"/>
        </w:rPr>
        <w:t>食用植物油销售包装</w:t>
      </w:r>
    </w:p>
    <w:p>
      <w:pPr>
        <w:autoSpaceDE w:val="0"/>
        <w:autoSpaceDN w:val="0"/>
        <w:ind w:firstLine="420" w:firstLineChars="200"/>
      </w:pPr>
      <w:r>
        <w:t xml:space="preserve">GB 28050 </w:t>
      </w:r>
      <w:r>
        <w:rPr>
          <w:rFonts w:hint="eastAsia"/>
        </w:rPr>
        <w:t>食品安全国家标准</w:t>
      </w:r>
      <w:r>
        <w:t xml:space="preserve"> </w:t>
      </w:r>
      <w:r>
        <w:rPr>
          <w:rFonts w:hint="eastAsia"/>
        </w:rPr>
        <w:t>预包装食品营养标签通则</w:t>
      </w:r>
    </w:p>
    <w:p>
      <w:pPr>
        <w:autoSpaceDE w:val="0"/>
        <w:autoSpaceDN w:val="0"/>
        <w:ind w:firstLine="420" w:firstLineChars="200"/>
      </w:pPr>
      <w:r>
        <w:t xml:space="preserve">GB/T 30354 </w:t>
      </w:r>
      <w:r>
        <w:rPr>
          <w:rFonts w:hint="eastAsia"/>
        </w:rPr>
        <w:t>食用植物油散装运输规范</w:t>
      </w:r>
    </w:p>
    <w:bookmarkEnd w:id="3"/>
    <w:p>
      <w:pPr>
        <w:pStyle w:val="12"/>
        <w:numPr>
          <w:ilvl w:val="0"/>
          <w:numId w:val="1"/>
        </w:numPr>
        <w:spacing w:before="156" w:beforeLines="50" w:after="156" w:afterLines="50"/>
        <w:outlineLvl w:val="0"/>
      </w:pPr>
      <w:r>
        <w:rPr>
          <w:rFonts w:hint="eastAsia"/>
        </w:rPr>
        <w:t>术语和定义</w:t>
      </w:r>
    </w:p>
    <w:p>
      <w:pPr>
        <w:pStyle w:val="9"/>
        <w:rPr>
          <w:rFonts w:ascii="Times New Roman"/>
        </w:rPr>
      </w:pPr>
      <w:bookmarkStart w:id="4" w:name="_Hlk120825087"/>
      <w:r>
        <w:rPr>
          <w:rFonts w:hint="eastAsia" w:ascii="Times New Roman"/>
        </w:rPr>
        <w:t>下列术语和定义适用于本文件。</w:t>
      </w:r>
    </w:p>
    <w:bookmarkEnd w:id="4"/>
    <w:p>
      <w:pPr>
        <w:pStyle w:val="11"/>
        <w:numPr>
          <w:ilvl w:val="0"/>
          <w:numId w:val="0"/>
        </w:numPr>
        <w:spacing w:before="156" w:after="156"/>
        <w:outlineLvl w:val="1"/>
      </w:pPr>
      <w:r>
        <w:rPr>
          <w:rFonts w:hint="eastAsia"/>
        </w:rPr>
        <w:t>3</w:t>
      </w:r>
      <w:r>
        <w:t>.1</w:t>
      </w:r>
    </w:p>
    <w:p>
      <w:pPr>
        <w:pStyle w:val="9"/>
        <w:rPr>
          <w:b/>
        </w:rPr>
      </w:pPr>
      <w:bookmarkStart w:id="5" w:name="_Hlk120825167"/>
      <w:r>
        <w:rPr>
          <w:rFonts w:hint="eastAsia" w:ascii="黑体" w:hAnsi="黑体" w:eastAsia="黑体"/>
          <w:bCs/>
        </w:rPr>
        <w:t>迷迭香 rosemary</w:t>
      </w:r>
      <w:r>
        <w:rPr>
          <w:rFonts w:ascii="Times New Roman"/>
          <w:bCs/>
        </w:rPr>
        <w:t xml:space="preserve">  </w:t>
      </w:r>
    </w:p>
    <w:p>
      <w:pPr>
        <w:autoSpaceDE w:val="0"/>
        <w:autoSpaceDN w:val="0"/>
        <w:ind w:firstLine="420" w:firstLineChars="200"/>
        <w:jc w:val="left"/>
      </w:pPr>
      <w:r>
        <w:rPr>
          <w:rFonts w:hint="eastAsia"/>
        </w:rPr>
        <w:t>迷迭香为唇形科迷迭香属植物（</w:t>
      </w:r>
      <w:r>
        <w:rPr>
          <w:i/>
        </w:rPr>
        <w:t>Rosmarinus officinalis L.</w:t>
      </w:r>
      <w:r>
        <w:rPr>
          <w:rFonts w:hint="eastAsia"/>
          <w:i/>
        </w:rPr>
        <w:t>）</w:t>
      </w:r>
      <w:r>
        <w:rPr>
          <w:rFonts w:hint="eastAsia"/>
        </w:rPr>
        <w:t>。</w:t>
      </w:r>
    </w:p>
    <w:p>
      <w:pPr>
        <w:pStyle w:val="11"/>
        <w:numPr>
          <w:ilvl w:val="0"/>
          <w:numId w:val="0"/>
        </w:numPr>
        <w:spacing w:before="156" w:after="156"/>
        <w:outlineLvl w:val="1"/>
      </w:pPr>
      <w:r>
        <w:rPr>
          <w:rFonts w:hint="eastAsia"/>
        </w:rPr>
        <w:t>3</w:t>
      </w:r>
      <w:r>
        <w:t>.2</w:t>
      </w:r>
    </w:p>
    <w:p>
      <w:pPr>
        <w:autoSpaceDE w:val="0"/>
        <w:autoSpaceDN w:val="0"/>
        <w:ind w:firstLine="420" w:firstLineChars="200"/>
        <w:rPr>
          <w:rFonts w:ascii="黑体" w:hAnsi="黑体" w:eastAsia="黑体"/>
          <w:bCs/>
          <w:kern w:val="0"/>
          <w:szCs w:val="20"/>
        </w:rPr>
      </w:pPr>
      <w:r>
        <w:rPr>
          <w:rFonts w:hint="eastAsia" w:ascii="黑体" w:hAnsi="黑体" w:eastAsia="黑体"/>
          <w:bCs/>
          <w:kern w:val="0"/>
          <w:szCs w:val="20"/>
        </w:rPr>
        <w:t>迷迭香油 rosemary oil</w:t>
      </w:r>
    </w:p>
    <w:p>
      <w:pPr>
        <w:autoSpaceDE w:val="0"/>
        <w:autoSpaceDN w:val="0"/>
        <w:ind w:firstLine="420" w:firstLineChars="200"/>
      </w:pPr>
      <w:r>
        <w:rPr>
          <w:rFonts w:hint="eastAsia"/>
        </w:rPr>
        <w:t>以迷迭香（</w:t>
      </w:r>
      <w:r>
        <w:t>3.1</w:t>
      </w:r>
      <w:r>
        <w:rPr>
          <w:rFonts w:hint="eastAsia"/>
        </w:rPr>
        <w:t>）的茎、叶为原料经提取、精制，溶于食用植物油制成的富含鼠尾草酸并符合本标准的天然抗氧化剂。</w:t>
      </w:r>
    </w:p>
    <w:bookmarkEnd w:id="5"/>
    <w:p>
      <w:pPr>
        <w:pStyle w:val="12"/>
        <w:numPr>
          <w:ilvl w:val="0"/>
          <w:numId w:val="1"/>
        </w:numPr>
        <w:spacing w:before="156" w:beforeLines="50" w:after="156" w:afterLines="50"/>
        <w:outlineLvl w:val="0"/>
      </w:pPr>
      <w:r>
        <w:rPr>
          <w:rFonts w:hint="eastAsia"/>
        </w:rPr>
        <w:t>质量要求</w:t>
      </w:r>
    </w:p>
    <w:p>
      <w:pPr>
        <w:pStyle w:val="9"/>
        <w:ind w:firstLine="0" w:firstLineChars="0"/>
        <w:rPr>
          <w:rFonts w:ascii="黑体" w:eastAsia="黑体"/>
        </w:rPr>
      </w:pPr>
      <w:bookmarkStart w:id="6" w:name="_Hlk120825595"/>
      <w:r>
        <w:rPr>
          <w:rFonts w:hint="eastAsia" w:ascii="黑体" w:eastAsia="黑体"/>
        </w:rPr>
        <w:t>4.1 原料要求</w:t>
      </w:r>
    </w:p>
    <w:p>
      <w:pPr>
        <w:pStyle w:val="9"/>
        <w:rPr>
          <w:color w:val="FF0000"/>
        </w:rPr>
      </w:pPr>
      <w:r>
        <w:rPr>
          <w:rFonts w:hint="eastAsia"/>
        </w:rPr>
        <w:t>食用植物油应符合GB 2716的要求。</w:t>
      </w:r>
      <w:r>
        <w:rPr>
          <w:rFonts w:hint="eastAsia"/>
          <w:color w:val="FF0000"/>
        </w:rPr>
        <w:t xml:space="preserve"> </w:t>
      </w:r>
    </w:p>
    <w:p>
      <w:pPr>
        <w:pStyle w:val="9"/>
        <w:ind w:firstLine="0" w:firstLineChars="0"/>
        <w:rPr>
          <w:rFonts w:ascii="Times New Roman" w:eastAsia="黑体"/>
        </w:rPr>
      </w:pPr>
    </w:p>
    <w:bookmarkEnd w:id="6"/>
    <w:p>
      <w:pPr>
        <w:pStyle w:val="9"/>
        <w:ind w:firstLine="0" w:firstLineChars="0"/>
        <w:rPr>
          <w:rFonts w:ascii="黑体" w:eastAsia="黑体"/>
        </w:rPr>
      </w:pPr>
      <w:bookmarkStart w:id="7" w:name="_Hlk120825941"/>
      <w:r>
        <w:rPr>
          <w:rFonts w:hint="eastAsia" w:ascii="黑体" w:eastAsia="黑体"/>
        </w:rPr>
        <w:t>4.2 质量指标</w:t>
      </w:r>
    </w:p>
    <w:p>
      <w:pPr>
        <w:pStyle w:val="9"/>
        <w:rPr>
          <w:rFonts w:ascii="Times New Roman"/>
        </w:rPr>
      </w:pPr>
      <w:r>
        <w:rPr>
          <w:rFonts w:hint="eastAsia" w:ascii="Times New Roman"/>
        </w:rPr>
        <w:t>迷迭香油质量指标应符合表</w:t>
      </w:r>
      <w:r>
        <w:rPr>
          <w:rFonts w:ascii="Times New Roman"/>
        </w:rPr>
        <w:t>1</w:t>
      </w:r>
      <w:r>
        <w:rPr>
          <w:rFonts w:hint="eastAsia" w:ascii="Times New Roman"/>
        </w:rPr>
        <w:t>的规定。</w:t>
      </w:r>
      <w:r>
        <w:rPr>
          <w:rFonts w:ascii="Times New Roman"/>
        </w:rPr>
        <w:t xml:space="preserve"> </w:t>
      </w:r>
    </w:p>
    <w:p>
      <w:pPr>
        <w:pStyle w:val="9"/>
        <w:ind w:firstLine="0" w:firstLineChars="0"/>
        <w:rPr>
          <w:rFonts w:ascii="Times New Roman"/>
        </w:rPr>
      </w:pPr>
    </w:p>
    <w:p>
      <w:pPr>
        <w:pStyle w:val="9"/>
        <w:ind w:firstLine="0" w:firstLineChars="0"/>
        <w:rPr>
          <w:rFonts w:ascii="黑体" w:eastAsia="黑体"/>
        </w:rPr>
      </w:pPr>
      <w:r>
        <w:rPr>
          <w:rFonts w:hint="eastAsia" w:ascii="黑体" w:eastAsia="黑体"/>
        </w:rPr>
        <w:t xml:space="preserve">                                表1 迷迭香质量指标</w:t>
      </w:r>
    </w:p>
    <w:tbl>
      <w:tblPr>
        <w:tblStyle w:val="4"/>
        <w:tblpPr w:leftFromText="180" w:rightFromText="180" w:vertAnchor="text" w:horzAnchor="margin" w:tblpY="206"/>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5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653" w:type="dxa"/>
            <w:tcBorders>
              <w:top w:val="single" w:color="auto" w:sz="4" w:space="0"/>
              <w:left w:val="single" w:color="auto" w:sz="4" w:space="0"/>
              <w:bottom w:val="single" w:color="auto" w:sz="4" w:space="0"/>
              <w:right w:val="nil"/>
            </w:tcBorders>
          </w:tcPr>
          <w:p>
            <w:pPr>
              <w:jc w:val="center"/>
              <w:rPr>
                <w:rFonts w:ascii="宋体" w:hAnsi="宋体" w:cs="宋体"/>
                <w:sz w:val="18"/>
                <w:szCs w:val="18"/>
              </w:rPr>
            </w:pPr>
            <w:r>
              <w:rPr>
                <w:rFonts w:hint="eastAsia" w:ascii="宋体" w:hAnsi="宋体" w:cs="宋体"/>
                <w:sz w:val="18"/>
                <w:szCs w:val="18"/>
              </w:rPr>
              <w:t>项目</w:t>
            </w:r>
          </w:p>
        </w:tc>
        <w:tc>
          <w:tcPr>
            <w:tcW w:w="5419" w:type="dxa"/>
            <w:tcBorders>
              <w:top w:val="single" w:color="auto" w:sz="4" w:space="0"/>
              <w:left w:val="single" w:color="auto" w:sz="4" w:space="0"/>
              <w:bottom w:val="single" w:color="auto" w:sz="4" w:space="0"/>
              <w:right w:val="single" w:color="auto" w:sz="4" w:space="0"/>
            </w:tcBorders>
          </w:tcPr>
          <w:p>
            <w:pPr>
              <w:jc w:val="center"/>
              <w:rPr>
                <w:rFonts w:ascii="宋体" w:hAnsi="宋体" w:cs="宋体"/>
                <w:sz w:val="18"/>
                <w:szCs w:val="18"/>
              </w:rPr>
            </w:pPr>
            <w:r>
              <w:rPr>
                <w:rFonts w:hint="eastAsia" w:ascii="宋体" w:hAnsi="宋体" w:cs="宋体"/>
                <w:sz w:val="18"/>
                <w:szCs w:val="18"/>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653" w:type="dxa"/>
            <w:tcBorders>
              <w:top w:val="single" w:color="auto" w:sz="4" w:space="0"/>
              <w:left w:val="single" w:color="auto" w:sz="4" w:space="0"/>
              <w:bottom w:val="single" w:color="auto" w:sz="4" w:space="0"/>
              <w:right w:val="nil"/>
            </w:tcBorders>
          </w:tcPr>
          <w:p>
            <w:pPr>
              <w:jc w:val="left"/>
              <w:rPr>
                <w:rFonts w:ascii="宋体" w:hAnsi="宋体" w:cs="宋体"/>
                <w:sz w:val="18"/>
                <w:szCs w:val="18"/>
              </w:rPr>
            </w:pPr>
            <w:r>
              <w:rPr>
                <w:rFonts w:hint="eastAsia" w:ascii="宋体" w:hAnsi="宋体" w:cs="宋体"/>
                <w:sz w:val="18"/>
                <w:szCs w:val="18"/>
              </w:rPr>
              <w:t>气味、滋味</w:t>
            </w:r>
          </w:p>
        </w:tc>
        <w:tc>
          <w:tcPr>
            <w:tcW w:w="5419" w:type="dxa"/>
            <w:tcBorders>
              <w:top w:val="single" w:color="auto" w:sz="4" w:space="0"/>
              <w:left w:val="single" w:color="auto" w:sz="4" w:space="0"/>
              <w:bottom w:val="single" w:color="auto" w:sz="4" w:space="0"/>
              <w:right w:val="single" w:color="auto" w:sz="4" w:space="0"/>
            </w:tcBorders>
          </w:tcPr>
          <w:p>
            <w:pPr>
              <w:ind w:firstLine="2160" w:firstLineChars="1200"/>
              <w:rPr>
                <w:rFonts w:ascii="宋体" w:hAnsi="宋体" w:cs="宋体"/>
                <w:sz w:val="18"/>
                <w:szCs w:val="18"/>
              </w:rPr>
            </w:pPr>
            <w:r>
              <w:rPr>
                <w:rFonts w:hint="eastAsia" w:ascii="宋体" w:hAnsi="宋体" w:cs="宋体"/>
                <w:sz w:val="18"/>
                <w:szCs w:val="18"/>
              </w:rPr>
              <w:t>无异味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653" w:type="dxa"/>
            <w:tcBorders>
              <w:top w:val="single" w:color="auto" w:sz="4" w:space="0"/>
              <w:left w:val="single" w:color="auto" w:sz="4" w:space="0"/>
              <w:bottom w:val="single" w:color="auto" w:sz="4" w:space="0"/>
              <w:right w:val="nil"/>
            </w:tcBorders>
          </w:tcPr>
          <w:p>
            <w:pPr>
              <w:jc w:val="left"/>
              <w:rPr>
                <w:rFonts w:ascii="宋体" w:hAnsi="宋体" w:cs="宋体"/>
                <w:sz w:val="18"/>
                <w:szCs w:val="18"/>
              </w:rPr>
            </w:pPr>
            <w:r>
              <w:rPr>
                <w:rFonts w:hint="eastAsia" w:ascii="宋体" w:hAnsi="宋体" w:cs="宋体"/>
                <w:sz w:val="18"/>
                <w:szCs w:val="18"/>
              </w:rPr>
              <w:t>色泽</w:t>
            </w:r>
          </w:p>
        </w:tc>
        <w:tc>
          <w:tcPr>
            <w:tcW w:w="5419" w:type="dxa"/>
            <w:tcBorders>
              <w:top w:val="single" w:color="auto" w:sz="4" w:space="0"/>
              <w:left w:val="single" w:color="auto" w:sz="4" w:space="0"/>
              <w:bottom w:val="single" w:color="auto" w:sz="4" w:space="0"/>
              <w:right w:val="single" w:color="auto" w:sz="4" w:space="0"/>
            </w:tcBorders>
          </w:tcPr>
          <w:p>
            <w:pPr>
              <w:jc w:val="center"/>
              <w:rPr>
                <w:rFonts w:ascii="宋体" w:hAnsi="宋体" w:cs="宋体"/>
                <w:sz w:val="18"/>
                <w:szCs w:val="18"/>
              </w:rPr>
            </w:pPr>
            <w:r>
              <w:rPr>
                <w:rFonts w:hint="eastAsia" w:ascii="宋体" w:hAnsi="宋体" w:cs="宋体"/>
                <w:sz w:val="18"/>
                <w:szCs w:val="18"/>
              </w:rPr>
              <w:t>浅黄至黄棕色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653" w:type="dxa"/>
            <w:tcBorders>
              <w:top w:val="single" w:color="auto" w:sz="4" w:space="0"/>
              <w:left w:val="single" w:color="auto" w:sz="4" w:space="0"/>
              <w:bottom w:val="single" w:color="auto" w:sz="4" w:space="0"/>
              <w:right w:val="nil"/>
            </w:tcBorders>
          </w:tcPr>
          <w:p>
            <w:pPr>
              <w:jc w:val="left"/>
              <w:rPr>
                <w:rFonts w:ascii="宋体" w:hAnsi="宋体" w:cs="宋体"/>
                <w:sz w:val="18"/>
                <w:szCs w:val="18"/>
              </w:rPr>
            </w:pPr>
            <w:r>
              <w:rPr>
                <w:rFonts w:hint="eastAsia" w:ascii="宋体" w:hAnsi="宋体" w:cs="宋体"/>
                <w:sz w:val="18"/>
                <w:szCs w:val="18"/>
              </w:rPr>
              <w:t>鼠尾草酸含量（%）                   ≥</w:t>
            </w:r>
          </w:p>
        </w:tc>
        <w:tc>
          <w:tcPr>
            <w:tcW w:w="5419" w:type="dxa"/>
            <w:tcBorders>
              <w:top w:val="single" w:color="auto" w:sz="4" w:space="0"/>
              <w:left w:val="single" w:color="auto" w:sz="4" w:space="0"/>
              <w:bottom w:val="single" w:color="auto" w:sz="4" w:space="0"/>
              <w:right w:val="single" w:color="auto" w:sz="4" w:space="0"/>
            </w:tcBorders>
          </w:tcPr>
          <w:p>
            <w:pPr>
              <w:jc w:val="center"/>
              <w:rPr>
                <w:rFonts w:ascii="宋体" w:hAnsi="宋体" w:cs="宋体"/>
                <w:sz w:val="18"/>
                <w:szCs w:val="18"/>
              </w:rPr>
            </w:pPr>
            <w:r>
              <w:rPr>
                <w:rFonts w:hint="eastAsia" w:ascii="宋体" w:hAnsi="宋体" w:cs="宋体"/>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653" w:type="dxa"/>
            <w:tcBorders>
              <w:top w:val="single" w:color="auto" w:sz="4" w:space="0"/>
              <w:left w:val="single" w:color="auto" w:sz="4" w:space="0"/>
              <w:bottom w:val="single" w:color="auto" w:sz="4" w:space="0"/>
              <w:right w:val="nil"/>
            </w:tcBorders>
          </w:tcPr>
          <w:p>
            <w:pPr>
              <w:tabs>
                <w:tab w:val="right" w:pos="4045"/>
              </w:tabs>
              <w:jc w:val="left"/>
              <w:rPr>
                <w:rFonts w:ascii="宋体" w:hAnsi="宋体" w:cs="宋体"/>
                <w:sz w:val="18"/>
                <w:szCs w:val="18"/>
              </w:rPr>
            </w:pPr>
            <w:r>
              <w:rPr>
                <w:rFonts w:hint="eastAsia" w:ascii="宋体" w:hAnsi="宋体" w:cs="宋体"/>
                <w:sz w:val="18"/>
                <w:szCs w:val="18"/>
              </w:rPr>
              <w:t>鼠尾草酚（%）                         ≤</w:t>
            </w:r>
          </w:p>
        </w:tc>
        <w:tc>
          <w:tcPr>
            <w:tcW w:w="5419" w:type="dxa"/>
            <w:tcBorders>
              <w:top w:val="single" w:color="auto" w:sz="4" w:space="0"/>
              <w:left w:val="single" w:color="auto" w:sz="4" w:space="0"/>
              <w:bottom w:val="single" w:color="auto" w:sz="4" w:space="0"/>
              <w:right w:val="single" w:color="auto" w:sz="4" w:space="0"/>
            </w:tcBorders>
          </w:tcPr>
          <w:p>
            <w:pPr>
              <w:jc w:val="center"/>
              <w:rPr>
                <w:rFonts w:ascii="宋体" w:hAnsi="宋体" w:cs="宋体"/>
                <w:sz w:val="18"/>
                <w:szCs w:val="18"/>
              </w:rPr>
            </w:pPr>
            <w:r>
              <w:rPr>
                <w:rFonts w:hint="eastAsia" w:ascii="宋体" w:hAnsi="宋体" w:cs="宋体"/>
                <w:sz w:val="18"/>
                <w:szCs w:val="18"/>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653" w:type="dxa"/>
            <w:tcBorders>
              <w:top w:val="single" w:color="auto" w:sz="4" w:space="0"/>
              <w:left w:val="single" w:color="auto" w:sz="4" w:space="0"/>
              <w:bottom w:val="single" w:color="auto" w:sz="4" w:space="0"/>
              <w:right w:val="nil"/>
            </w:tcBorders>
          </w:tcPr>
          <w:p>
            <w:pPr>
              <w:tabs>
                <w:tab w:val="right" w:pos="4045"/>
              </w:tabs>
              <w:jc w:val="left"/>
              <w:rPr>
                <w:rFonts w:ascii="宋体" w:hAnsi="宋体" w:cs="宋体"/>
                <w:sz w:val="18"/>
                <w:szCs w:val="18"/>
              </w:rPr>
            </w:pPr>
            <w:r>
              <w:rPr>
                <w:rFonts w:hint="eastAsia" w:ascii="宋体" w:hAnsi="宋体" w:cs="宋体"/>
                <w:sz w:val="18"/>
                <w:szCs w:val="18"/>
              </w:rPr>
              <w:t>水分（%）                             ≤</w:t>
            </w:r>
          </w:p>
        </w:tc>
        <w:tc>
          <w:tcPr>
            <w:tcW w:w="5419" w:type="dxa"/>
            <w:tcBorders>
              <w:top w:val="single" w:color="auto" w:sz="4" w:space="0"/>
              <w:left w:val="single" w:color="auto" w:sz="4" w:space="0"/>
              <w:bottom w:val="single" w:color="auto" w:sz="4" w:space="0"/>
              <w:right w:val="single" w:color="auto" w:sz="4" w:space="0"/>
            </w:tcBorders>
          </w:tcPr>
          <w:p>
            <w:pPr>
              <w:jc w:val="center"/>
              <w:rPr>
                <w:rFonts w:ascii="宋体" w:hAnsi="宋体" w:cs="宋体"/>
                <w:sz w:val="18"/>
                <w:szCs w:val="18"/>
              </w:rPr>
            </w:pPr>
            <w:r>
              <w:rPr>
                <w:rFonts w:hint="eastAsia" w:ascii="宋体" w:hAnsi="宋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653" w:type="dxa"/>
            <w:tcBorders>
              <w:top w:val="single" w:color="auto" w:sz="4" w:space="0"/>
              <w:left w:val="single" w:color="auto" w:sz="4" w:space="0"/>
              <w:bottom w:val="single" w:color="auto" w:sz="4" w:space="0"/>
              <w:right w:val="nil"/>
            </w:tcBorders>
          </w:tcPr>
          <w:p>
            <w:pPr>
              <w:jc w:val="left"/>
              <w:rPr>
                <w:rFonts w:ascii="宋体" w:hAnsi="宋体" w:cs="宋体"/>
                <w:sz w:val="18"/>
                <w:szCs w:val="18"/>
              </w:rPr>
            </w:pPr>
            <w:r>
              <w:rPr>
                <w:rFonts w:hint="eastAsia" w:ascii="宋体" w:hAnsi="宋体" w:cs="宋体"/>
                <w:sz w:val="18"/>
                <w:szCs w:val="18"/>
              </w:rPr>
              <w:t>马鞭草烯酮含量（%）                 ≤</w:t>
            </w:r>
          </w:p>
        </w:tc>
        <w:tc>
          <w:tcPr>
            <w:tcW w:w="5419" w:type="dxa"/>
            <w:tcBorders>
              <w:top w:val="single" w:color="auto" w:sz="4" w:space="0"/>
              <w:left w:val="single" w:color="auto" w:sz="4" w:space="0"/>
              <w:bottom w:val="single" w:color="auto" w:sz="4" w:space="0"/>
              <w:right w:val="single" w:color="auto" w:sz="4" w:space="0"/>
            </w:tcBorders>
          </w:tcPr>
          <w:p>
            <w:pPr>
              <w:jc w:val="center"/>
              <w:rPr>
                <w:rFonts w:ascii="宋体" w:hAnsi="宋体" w:cs="宋体"/>
                <w:sz w:val="18"/>
                <w:szCs w:val="18"/>
              </w:rPr>
            </w:pPr>
            <w:r>
              <w:rPr>
                <w:rFonts w:hint="eastAsia" w:ascii="宋体" w:hAnsi="宋体" w:cs="宋体"/>
                <w:sz w:val="18"/>
                <w:szCs w:val="18"/>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653" w:type="dxa"/>
            <w:tcBorders>
              <w:top w:val="single" w:color="auto" w:sz="4" w:space="0"/>
              <w:left w:val="single" w:color="auto" w:sz="4" w:space="0"/>
              <w:bottom w:val="single" w:color="auto" w:sz="4" w:space="0"/>
              <w:right w:val="nil"/>
            </w:tcBorders>
          </w:tcPr>
          <w:p>
            <w:pPr>
              <w:jc w:val="left"/>
              <w:rPr>
                <w:rFonts w:ascii="宋体" w:hAnsi="宋体" w:cs="宋体"/>
                <w:sz w:val="18"/>
                <w:szCs w:val="18"/>
              </w:rPr>
            </w:pPr>
            <w:r>
              <w:rPr>
                <w:rFonts w:hint="eastAsia" w:ascii="宋体" w:hAnsi="宋体" w:cs="宋体"/>
                <w:sz w:val="18"/>
                <w:szCs w:val="18"/>
              </w:rPr>
              <w:t>过氧化值（g/100g）                  ≤</w:t>
            </w:r>
          </w:p>
        </w:tc>
        <w:tc>
          <w:tcPr>
            <w:tcW w:w="5419" w:type="dxa"/>
            <w:tcBorders>
              <w:top w:val="single" w:color="auto" w:sz="4" w:space="0"/>
              <w:left w:val="single" w:color="auto" w:sz="4" w:space="0"/>
              <w:bottom w:val="single" w:color="auto" w:sz="4" w:space="0"/>
              <w:right w:val="single" w:color="auto" w:sz="4" w:space="0"/>
            </w:tcBorders>
          </w:tcPr>
          <w:p>
            <w:pPr>
              <w:jc w:val="center"/>
              <w:rPr>
                <w:rFonts w:ascii="宋体" w:hAnsi="宋体" w:cs="宋体"/>
                <w:sz w:val="18"/>
                <w:szCs w:val="18"/>
              </w:rPr>
            </w:pPr>
            <w:r>
              <w:rPr>
                <w:rFonts w:hint="eastAsia" w:ascii="宋体" w:hAnsi="宋体" w:cs="宋体"/>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653" w:type="dxa"/>
            <w:tcBorders>
              <w:top w:val="single" w:color="auto" w:sz="4" w:space="0"/>
              <w:left w:val="single" w:color="auto" w:sz="4" w:space="0"/>
              <w:bottom w:val="single" w:color="auto" w:sz="4" w:space="0"/>
              <w:right w:val="nil"/>
            </w:tcBorders>
          </w:tcPr>
          <w:p>
            <w:pPr>
              <w:jc w:val="left"/>
              <w:rPr>
                <w:rFonts w:ascii="宋体" w:hAnsi="宋体" w:cs="宋体"/>
                <w:sz w:val="18"/>
                <w:szCs w:val="18"/>
              </w:rPr>
            </w:pPr>
            <w:r>
              <w:rPr>
                <w:rFonts w:hint="eastAsia" w:ascii="宋体" w:hAnsi="宋体" w:cs="宋体"/>
                <w:sz w:val="18"/>
                <w:szCs w:val="18"/>
              </w:rPr>
              <w:t>溶剂残留（mg/kg）</w:t>
            </w:r>
          </w:p>
        </w:tc>
        <w:tc>
          <w:tcPr>
            <w:tcW w:w="5419" w:type="dxa"/>
            <w:tcBorders>
              <w:top w:val="single" w:color="auto" w:sz="4" w:space="0"/>
              <w:left w:val="single" w:color="auto" w:sz="4" w:space="0"/>
              <w:bottom w:val="single" w:color="auto" w:sz="4" w:space="0"/>
              <w:right w:val="single" w:color="auto" w:sz="4" w:space="0"/>
            </w:tcBorders>
          </w:tcPr>
          <w:p>
            <w:pPr>
              <w:jc w:val="center"/>
              <w:rPr>
                <w:rFonts w:ascii="宋体" w:hAnsi="宋体" w:cs="宋体"/>
                <w:sz w:val="18"/>
                <w:szCs w:val="18"/>
              </w:rPr>
            </w:pPr>
            <w:r>
              <w:rPr>
                <w:rFonts w:hint="eastAsia" w:ascii="宋体" w:hAnsi="宋体" w:cs="宋体"/>
                <w:sz w:val="18"/>
                <w:szCs w:val="18"/>
              </w:rPr>
              <w:t>不得检出（注；溶剂残留量检出值小于10mg/kg时，视为未检出）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653" w:type="dxa"/>
            <w:tcBorders>
              <w:top w:val="single" w:color="auto" w:sz="4" w:space="0"/>
              <w:left w:val="single" w:color="auto" w:sz="4" w:space="0"/>
              <w:bottom w:val="single" w:color="auto" w:sz="4" w:space="0"/>
              <w:right w:val="nil"/>
            </w:tcBorders>
          </w:tcPr>
          <w:p>
            <w:pPr>
              <w:jc w:val="left"/>
              <w:rPr>
                <w:rFonts w:ascii="宋体" w:hAnsi="宋体" w:cs="宋体"/>
                <w:sz w:val="18"/>
                <w:szCs w:val="18"/>
              </w:rPr>
            </w:pPr>
            <w:r>
              <w:rPr>
                <w:rFonts w:hint="eastAsia" w:ascii="宋体" w:hAnsi="宋体" w:cs="宋体"/>
                <w:sz w:val="18"/>
                <w:szCs w:val="18"/>
              </w:rPr>
              <w:t>四种多环芳烃总量（</w:t>
            </w:r>
            <w:r>
              <w:rPr>
                <w:rFonts w:hint="eastAsia" w:ascii="MS Gothic" w:hAnsi="MS Gothic" w:eastAsia="MS Gothic" w:cs="MS Gothic"/>
                <w:sz w:val="18"/>
                <w:szCs w:val="18"/>
              </w:rPr>
              <w:t>㎍</w:t>
            </w:r>
            <w:r>
              <w:rPr>
                <w:rFonts w:hint="eastAsia" w:ascii="宋体" w:hAnsi="宋体" w:cs="宋体"/>
                <w:sz w:val="18"/>
                <w:szCs w:val="18"/>
              </w:rPr>
              <w:t>/kg）             ≤</w:t>
            </w:r>
          </w:p>
        </w:tc>
        <w:tc>
          <w:tcPr>
            <w:tcW w:w="5419" w:type="dxa"/>
            <w:tcBorders>
              <w:top w:val="single" w:color="auto" w:sz="4" w:space="0"/>
              <w:left w:val="single" w:color="auto" w:sz="4" w:space="0"/>
              <w:bottom w:val="single" w:color="auto" w:sz="4" w:space="0"/>
              <w:right w:val="single" w:color="auto" w:sz="4" w:space="0"/>
            </w:tcBorders>
          </w:tcPr>
          <w:p>
            <w:pPr>
              <w:jc w:val="center"/>
              <w:rPr>
                <w:rFonts w:ascii="宋体" w:hAnsi="宋体" w:cs="宋体"/>
                <w:sz w:val="18"/>
                <w:szCs w:val="18"/>
              </w:rPr>
            </w:pPr>
            <w:r>
              <w:rPr>
                <w:rFonts w:hint="eastAsia" w:ascii="宋体" w:hAnsi="宋体" w:cs="宋体"/>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653" w:type="dxa"/>
            <w:tcBorders>
              <w:top w:val="single" w:color="auto" w:sz="4" w:space="0"/>
              <w:left w:val="single" w:color="auto" w:sz="4" w:space="0"/>
              <w:bottom w:val="single" w:color="auto" w:sz="4" w:space="0"/>
              <w:right w:val="nil"/>
            </w:tcBorders>
          </w:tcPr>
          <w:p>
            <w:pPr>
              <w:jc w:val="left"/>
              <w:rPr>
                <w:rFonts w:ascii="宋体" w:hAnsi="宋体" w:cs="宋体"/>
                <w:sz w:val="18"/>
                <w:szCs w:val="18"/>
              </w:rPr>
            </w:pPr>
            <w:r>
              <w:rPr>
                <w:rFonts w:hint="eastAsia" w:ascii="宋体" w:hAnsi="宋体" w:cs="宋体"/>
                <w:sz w:val="18"/>
                <w:szCs w:val="18"/>
              </w:rPr>
              <w:t>苯并芘（</w:t>
            </w:r>
            <w:r>
              <w:rPr>
                <w:rFonts w:hint="eastAsia" w:ascii="MS Gothic" w:hAnsi="MS Gothic" w:eastAsia="MS Gothic" w:cs="MS Gothic"/>
                <w:sz w:val="18"/>
                <w:szCs w:val="18"/>
              </w:rPr>
              <w:t>㎍</w:t>
            </w:r>
            <w:r>
              <w:rPr>
                <w:rFonts w:hint="eastAsia" w:ascii="宋体" w:hAnsi="宋体" w:cs="宋体"/>
                <w:sz w:val="18"/>
                <w:szCs w:val="18"/>
              </w:rPr>
              <w:t>/kg）                       ≤</w:t>
            </w:r>
          </w:p>
        </w:tc>
        <w:tc>
          <w:tcPr>
            <w:tcW w:w="5419" w:type="dxa"/>
            <w:tcBorders>
              <w:top w:val="single" w:color="auto" w:sz="4" w:space="0"/>
              <w:left w:val="single" w:color="auto" w:sz="4" w:space="0"/>
              <w:bottom w:val="single" w:color="auto" w:sz="4" w:space="0"/>
              <w:right w:val="single" w:color="auto" w:sz="4" w:space="0"/>
            </w:tcBorders>
          </w:tcPr>
          <w:p>
            <w:pPr>
              <w:jc w:val="center"/>
              <w:rPr>
                <w:rFonts w:ascii="宋体" w:hAnsi="宋体" w:cs="宋体"/>
                <w:sz w:val="18"/>
                <w:szCs w:val="18"/>
              </w:rPr>
            </w:pPr>
            <w:r>
              <w:rPr>
                <w:rFonts w:hint="eastAsia" w:ascii="宋体" w:hAnsi="宋体" w:cs="宋体"/>
                <w:sz w:val="18"/>
                <w:szCs w:val="18"/>
              </w:rPr>
              <w:t>10</w:t>
            </w:r>
          </w:p>
        </w:tc>
      </w:tr>
    </w:tbl>
    <w:p>
      <w:pPr>
        <w:pStyle w:val="9"/>
        <w:ind w:firstLine="0" w:firstLineChars="0"/>
        <w:rPr>
          <w:rFonts w:ascii="黑体" w:eastAsia="黑体" w:cs="Times New Roman"/>
          <w:kern w:val="0"/>
          <w:szCs w:val="20"/>
        </w:rPr>
      </w:pPr>
    </w:p>
    <w:p>
      <w:pPr>
        <w:spacing w:before="156" w:beforeLines="50" w:after="312"/>
        <w:rPr>
          <w:rFonts w:ascii="黑体" w:hAnsi="黑体" w:eastAsia="黑体"/>
        </w:rPr>
      </w:pPr>
      <w:r>
        <w:rPr>
          <w:rFonts w:hint="eastAsia" w:ascii="黑体" w:hAnsi="黑体" w:eastAsia="黑体"/>
        </w:rPr>
        <w:t>4.3  食品安全要求</w:t>
      </w:r>
    </w:p>
    <w:p>
      <w:pPr>
        <w:spacing w:before="156" w:beforeLines="50" w:after="312"/>
        <w:rPr>
          <w:rFonts w:ascii="宋体" w:hAnsi="宋体"/>
          <w:kern w:val="0"/>
          <w:szCs w:val="20"/>
        </w:rPr>
      </w:pPr>
      <w:r>
        <w:rPr>
          <w:rFonts w:hint="eastAsia" w:ascii="黑体" w:hAnsi="黑体" w:eastAsia="黑体"/>
        </w:rPr>
        <w:t>4</w:t>
      </w:r>
      <w:r>
        <w:rPr>
          <w:rFonts w:ascii="黑体" w:hAnsi="黑体" w:eastAsia="黑体"/>
        </w:rPr>
        <w:t>.3.1</w:t>
      </w:r>
      <w:r>
        <w:rPr>
          <w:rFonts w:hint="eastAsia" w:ascii="黑体" w:hAnsi="宋体"/>
          <w:kern w:val="0"/>
          <w:szCs w:val="20"/>
        </w:rPr>
        <w:t xml:space="preserve"> </w:t>
      </w:r>
      <w:r>
        <w:rPr>
          <w:rFonts w:hint="eastAsia" w:ascii="宋体" w:hAnsi="宋体"/>
          <w:kern w:val="0"/>
          <w:szCs w:val="20"/>
        </w:rPr>
        <w:t>应符合GB 2716和国家的有关规定。</w:t>
      </w:r>
    </w:p>
    <w:p>
      <w:pPr>
        <w:spacing w:before="156" w:beforeLines="50" w:after="312"/>
        <w:rPr>
          <w:rFonts w:ascii="黑体" w:hAnsi="宋体"/>
          <w:kern w:val="0"/>
          <w:szCs w:val="20"/>
        </w:rPr>
      </w:pPr>
      <w:r>
        <w:rPr>
          <w:rFonts w:hint="eastAsia" w:ascii="黑体" w:hAnsi="黑体" w:eastAsia="黑体"/>
          <w:kern w:val="0"/>
          <w:szCs w:val="20"/>
        </w:rPr>
        <w:t>4</w:t>
      </w:r>
      <w:r>
        <w:rPr>
          <w:rFonts w:ascii="黑体" w:hAnsi="黑体" w:eastAsia="黑体"/>
          <w:kern w:val="0"/>
          <w:szCs w:val="20"/>
        </w:rPr>
        <w:t>.3.2</w:t>
      </w:r>
      <w:r>
        <w:rPr>
          <w:rFonts w:hint="eastAsia" w:ascii="黑体" w:hAnsi="黑体" w:eastAsia="黑体"/>
          <w:kern w:val="0"/>
          <w:szCs w:val="20"/>
        </w:rPr>
        <w:t xml:space="preserve"> </w:t>
      </w:r>
      <w:r>
        <w:rPr>
          <w:rFonts w:hint="eastAsia" w:ascii="黑体" w:hAnsi="宋体"/>
          <w:kern w:val="0"/>
          <w:szCs w:val="20"/>
        </w:rPr>
        <w:t>食品添加剂的</w:t>
      </w:r>
      <w:r>
        <w:rPr>
          <w:rFonts w:hint="eastAsia" w:ascii="宋体" w:hAnsi="宋体"/>
          <w:kern w:val="0"/>
          <w:szCs w:val="20"/>
        </w:rPr>
        <w:t>品种和使用量应符合GB 2760的规定，不得添加非食</w:t>
      </w:r>
      <w:r>
        <w:rPr>
          <w:rFonts w:hint="eastAsia" w:ascii="黑体" w:hAnsi="宋体"/>
          <w:kern w:val="0"/>
          <w:szCs w:val="20"/>
        </w:rPr>
        <w:t>用物质。</w:t>
      </w:r>
    </w:p>
    <w:p>
      <w:pPr>
        <w:spacing w:before="156" w:beforeLines="50" w:after="312"/>
        <w:rPr>
          <w:rFonts w:hAnsi="宋体"/>
          <w:kern w:val="0"/>
          <w:szCs w:val="20"/>
        </w:rPr>
      </w:pPr>
      <w:r>
        <w:rPr>
          <w:rFonts w:ascii="黑体" w:hAnsi="宋体"/>
          <w:kern w:val="0"/>
          <w:szCs w:val="20"/>
        </w:rPr>
        <w:t>4.3.3</w:t>
      </w:r>
      <w:r>
        <w:rPr>
          <w:rFonts w:hint="eastAsia" w:ascii="宋体" w:hAnsi="宋体"/>
          <w:kern w:val="0"/>
          <w:szCs w:val="20"/>
        </w:rPr>
        <w:t>真菌毒素限量应</w:t>
      </w:r>
      <w:r>
        <w:rPr>
          <w:rFonts w:hint="eastAsia" w:hAnsi="宋体"/>
          <w:kern w:val="0"/>
          <w:szCs w:val="20"/>
        </w:rPr>
        <w:t>符合</w:t>
      </w:r>
      <w:r>
        <w:rPr>
          <w:rFonts w:hAnsi="宋体"/>
          <w:kern w:val="0"/>
          <w:szCs w:val="20"/>
        </w:rPr>
        <w:t>GB 2761</w:t>
      </w:r>
      <w:r>
        <w:rPr>
          <w:rFonts w:hint="eastAsia" w:hAnsi="宋体"/>
          <w:kern w:val="0"/>
          <w:szCs w:val="20"/>
        </w:rPr>
        <w:t>的规定；</w:t>
      </w:r>
      <w:r>
        <w:rPr>
          <w:rFonts w:hint="eastAsia" w:ascii="宋体" w:hAnsi="宋体"/>
          <w:kern w:val="0"/>
          <w:szCs w:val="20"/>
        </w:rPr>
        <w:t>污染物限量应符合</w:t>
      </w:r>
      <w:r>
        <w:rPr>
          <w:rFonts w:hAnsi="宋体"/>
          <w:kern w:val="0"/>
          <w:szCs w:val="20"/>
        </w:rPr>
        <w:t>GB 2762</w:t>
      </w:r>
      <w:r>
        <w:rPr>
          <w:rFonts w:hint="eastAsia" w:hAnsi="宋体"/>
          <w:kern w:val="0"/>
          <w:szCs w:val="20"/>
        </w:rPr>
        <w:t>的规</w:t>
      </w:r>
      <w:r>
        <w:rPr>
          <w:rFonts w:hint="eastAsia" w:ascii="宋体" w:hAnsi="宋体"/>
          <w:kern w:val="0"/>
          <w:szCs w:val="20"/>
        </w:rPr>
        <w:t>定；</w:t>
      </w:r>
      <w:r>
        <w:rPr>
          <w:rFonts w:hint="eastAsia"/>
        </w:rPr>
        <w:t>农药残留限量应符合GB 2763及相关规定。</w:t>
      </w:r>
    </w:p>
    <w:bookmarkEnd w:id="7"/>
    <w:p>
      <w:pPr>
        <w:pStyle w:val="12"/>
        <w:numPr>
          <w:ilvl w:val="0"/>
          <w:numId w:val="1"/>
        </w:numPr>
        <w:spacing w:before="156" w:beforeLines="50" w:after="156" w:afterLines="50"/>
        <w:outlineLvl w:val="0"/>
      </w:pPr>
      <w:r>
        <w:rPr>
          <w:rFonts w:hint="eastAsia"/>
        </w:rPr>
        <w:t xml:space="preserve">检验方法 </w:t>
      </w:r>
      <w:bookmarkStart w:id="8" w:name="_Hlk120826026"/>
    </w:p>
    <w:p>
      <w:pPr>
        <w:pStyle w:val="12"/>
        <w:numPr>
          <w:ilvl w:val="0"/>
          <w:numId w:val="0"/>
        </w:numPr>
        <w:spacing w:before="156" w:beforeLines="50" w:after="156" w:afterLines="50"/>
        <w:outlineLvl w:val="0"/>
      </w:pPr>
      <w:r>
        <w:rPr>
          <w:rFonts w:hint="eastAsia" w:hAnsi="黑体"/>
        </w:rPr>
        <w:t xml:space="preserve">5.1  </w:t>
      </w:r>
      <w:r>
        <w:rPr>
          <w:rFonts w:hint="eastAsia" w:ascii="宋体" w:hAnsi="宋体" w:eastAsia="宋体"/>
        </w:rPr>
        <w:t>鼠尾草酸和鼠尾草酸含量：按</w:t>
      </w:r>
      <w:r>
        <w:rPr>
          <w:rFonts w:hint="eastAsia" w:ascii="宋体" w:hAnsi="宋体" w:eastAsia="宋体"/>
          <w:lang w:bidi="ar"/>
        </w:rPr>
        <w:t>GB1886.172中鼠尾草酸含量测定方法</w:t>
      </w:r>
      <w:r>
        <w:rPr>
          <w:rFonts w:hint="eastAsia" w:ascii="宋体" w:hAnsi="宋体" w:eastAsia="宋体"/>
        </w:rPr>
        <w:t>执行。</w:t>
      </w:r>
    </w:p>
    <w:p>
      <w:pPr>
        <w:widowControl/>
        <w:spacing w:before="156" w:beforeLines="50" w:after="156" w:afterLines="50"/>
        <w:jc w:val="left"/>
        <w:outlineLvl w:val="2"/>
        <w:rPr>
          <w:rFonts w:ascii="黑体" w:hAnsi="黑体" w:eastAsia="黑体"/>
          <w:kern w:val="0"/>
          <w:szCs w:val="21"/>
        </w:rPr>
      </w:pPr>
      <w:r>
        <w:rPr>
          <w:rFonts w:hint="eastAsia" w:ascii="黑体" w:hAnsi="黑体" w:eastAsia="黑体"/>
          <w:kern w:val="0"/>
          <w:szCs w:val="21"/>
        </w:rPr>
        <w:t xml:space="preserve">5.2 </w:t>
      </w:r>
      <w:r>
        <w:rPr>
          <w:rFonts w:hint="eastAsia" w:ascii="宋体" w:hAnsi="宋体"/>
          <w:kern w:val="0"/>
          <w:szCs w:val="21"/>
        </w:rPr>
        <w:t xml:space="preserve"> 气味、滋味检验：按GB/T 5525执行。</w:t>
      </w:r>
    </w:p>
    <w:p>
      <w:pPr>
        <w:widowControl/>
        <w:spacing w:before="156" w:beforeLines="50" w:after="156" w:afterLines="50"/>
        <w:jc w:val="left"/>
        <w:outlineLvl w:val="2"/>
        <w:rPr>
          <w:rFonts w:hAnsi="黑体" w:eastAsia="黑体"/>
          <w:kern w:val="0"/>
          <w:szCs w:val="21"/>
        </w:rPr>
      </w:pPr>
      <w:r>
        <w:rPr>
          <w:rFonts w:hint="eastAsia" w:ascii="黑体" w:hAnsi="黑体" w:eastAsia="黑体"/>
          <w:kern w:val="0"/>
          <w:szCs w:val="21"/>
        </w:rPr>
        <w:t xml:space="preserve">5.3  </w:t>
      </w:r>
      <w:r>
        <w:rPr>
          <w:rFonts w:hint="eastAsia" w:ascii="宋体" w:hAnsi="宋体"/>
          <w:kern w:val="0"/>
          <w:szCs w:val="21"/>
        </w:rPr>
        <w:t>色泽检验：按GB/T 5492执行。</w:t>
      </w:r>
    </w:p>
    <w:p>
      <w:pPr>
        <w:widowControl/>
        <w:spacing w:before="156" w:beforeLines="50" w:after="156" w:afterLines="50"/>
        <w:jc w:val="left"/>
        <w:outlineLvl w:val="2"/>
        <w:rPr>
          <w:rFonts w:ascii="宋体" w:hAnsi="宋体"/>
          <w:kern w:val="0"/>
          <w:szCs w:val="21"/>
        </w:rPr>
      </w:pPr>
      <w:r>
        <w:rPr>
          <w:rFonts w:hint="eastAsia" w:ascii="黑体" w:hAnsi="黑体" w:eastAsia="黑体"/>
          <w:kern w:val="0"/>
          <w:szCs w:val="21"/>
        </w:rPr>
        <w:t xml:space="preserve">5.4  </w:t>
      </w:r>
      <w:r>
        <w:rPr>
          <w:rFonts w:hint="eastAsia" w:ascii="宋体" w:hAnsi="宋体"/>
          <w:kern w:val="0"/>
          <w:szCs w:val="21"/>
        </w:rPr>
        <w:t>水分检验：按GB 5009.236执行。</w:t>
      </w:r>
    </w:p>
    <w:p>
      <w:pPr>
        <w:widowControl/>
        <w:spacing w:before="156" w:beforeLines="50" w:after="156" w:afterLines="50"/>
        <w:jc w:val="left"/>
        <w:outlineLvl w:val="2"/>
        <w:rPr>
          <w:rFonts w:ascii="宋体" w:hAnsi="宋体"/>
          <w:kern w:val="0"/>
          <w:szCs w:val="21"/>
        </w:rPr>
      </w:pPr>
      <w:r>
        <w:rPr>
          <w:rFonts w:hint="eastAsia" w:ascii="黑体" w:hAnsi="黑体" w:eastAsia="黑体"/>
          <w:kern w:val="0"/>
          <w:szCs w:val="21"/>
        </w:rPr>
        <w:t xml:space="preserve">5.5  </w:t>
      </w:r>
      <w:r>
        <w:rPr>
          <w:rFonts w:hint="eastAsia" w:ascii="宋体" w:hAnsi="宋体"/>
          <w:kern w:val="0"/>
          <w:szCs w:val="21"/>
        </w:rPr>
        <w:t>过氧化值检验：按GB 5009.227执行。</w:t>
      </w:r>
    </w:p>
    <w:p>
      <w:pPr>
        <w:widowControl/>
        <w:spacing w:before="156" w:beforeLines="50" w:after="156" w:afterLines="50"/>
        <w:jc w:val="left"/>
        <w:outlineLvl w:val="2"/>
        <w:rPr>
          <w:rFonts w:ascii="宋体" w:hAnsi="宋体"/>
          <w:kern w:val="0"/>
          <w:szCs w:val="21"/>
        </w:rPr>
      </w:pPr>
      <w:r>
        <w:rPr>
          <w:rFonts w:hint="eastAsia" w:ascii="黑体" w:hAnsi="黑体" w:eastAsia="黑体"/>
          <w:kern w:val="0"/>
          <w:szCs w:val="21"/>
        </w:rPr>
        <w:t xml:space="preserve">5.6 </w:t>
      </w:r>
      <w:r>
        <w:rPr>
          <w:rFonts w:hint="eastAsia" w:ascii="宋体" w:hAnsi="宋体"/>
          <w:kern w:val="0"/>
          <w:szCs w:val="21"/>
        </w:rPr>
        <w:t>溶剂残留量检验：按GB 5009.262执行。</w:t>
      </w:r>
    </w:p>
    <w:p>
      <w:pPr>
        <w:widowControl/>
        <w:spacing w:before="156" w:beforeLines="50" w:after="156" w:afterLines="50"/>
        <w:jc w:val="left"/>
        <w:outlineLvl w:val="2"/>
        <w:rPr>
          <w:rFonts w:ascii="宋体" w:hAnsi="宋体"/>
          <w:kern w:val="0"/>
          <w:szCs w:val="21"/>
        </w:rPr>
      </w:pPr>
      <w:r>
        <w:rPr>
          <w:rFonts w:hint="eastAsia" w:ascii="黑体" w:hAnsi="黑体" w:eastAsia="黑体"/>
          <w:kern w:val="0"/>
          <w:szCs w:val="21"/>
        </w:rPr>
        <w:t xml:space="preserve">5.7  </w:t>
      </w:r>
      <w:r>
        <w:rPr>
          <w:rFonts w:hint="eastAsia" w:ascii="宋体" w:hAnsi="宋体"/>
          <w:kern w:val="0"/>
          <w:szCs w:val="21"/>
        </w:rPr>
        <w:t>苯并芘和四种多环芳烃总量检验：按GB5009.265执行。</w:t>
      </w:r>
    </w:p>
    <w:bookmarkEnd w:id="8"/>
    <w:p>
      <w:pPr>
        <w:pStyle w:val="9"/>
        <w:numPr>
          <w:ilvl w:val="0"/>
          <w:numId w:val="1"/>
        </w:numPr>
        <w:ind w:firstLineChars="0"/>
        <w:rPr>
          <w:rFonts w:ascii="黑体" w:hAnsi="Times New Roman" w:eastAsia="黑体"/>
          <w:kern w:val="0"/>
          <w:szCs w:val="20"/>
        </w:rPr>
      </w:pPr>
      <w:bookmarkStart w:id="9" w:name="_Hlk120826178"/>
      <w:r>
        <w:rPr>
          <w:rFonts w:hint="eastAsia" w:ascii="黑体" w:eastAsia="黑体"/>
        </w:rPr>
        <w:t>检验规则</w:t>
      </w:r>
    </w:p>
    <w:bookmarkEnd w:id="9"/>
    <w:p>
      <w:pPr>
        <w:widowControl/>
        <w:spacing w:before="156" w:beforeLines="50" w:after="156" w:afterLines="50"/>
        <w:jc w:val="left"/>
        <w:outlineLvl w:val="2"/>
        <w:rPr>
          <w:rFonts w:ascii="黑体" w:hAnsi="黑体" w:eastAsia="黑体"/>
          <w:kern w:val="0"/>
          <w:szCs w:val="21"/>
        </w:rPr>
      </w:pPr>
      <w:bookmarkStart w:id="10" w:name="_Hlk121038646"/>
      <w:r>
        <w:rPr>
          <w:rFonts w:hint="eastAsia" w:ascii="黑体" w:hAnsi="黑体" w:eastAsia="黑体"/>
          <w:kern w:val="0"/>
          <w:szCs w:val="21"/>
        </w:rPr>
        <w:t>6.1一般规则</w:t>
      </w:r>
    </w:p>
    <w:p>
      <w:pPr>
        <w:adjustRightInd w:val="0"/>
        <w:spacing w:before="156" w:beforeLines="50" w:after="160"/>
        <w:ind w:firstLine="420" w:firstLineChars="200"/>
        <w:outlineLvl w:val="0"/>
        <w:rPr>
          <w:rFonts w:ascii="宋体" w:hAnsi="宋体"/>
          <w:kern w:val="21"/>
          <w:szCs w:val="20"/>
        </w:rPr>
      </w:pPr>
      <w:r>
        <w:rPr>
          <w:rFonts w:hint="eastAsia" w:hAnsi="宋体"/>
          <w:szCs w:val="21"/>
        </w:rPr>
        <w:t>按照</w:t>
      </w:r>
      <w:r>
        <w:rPr>
          <w:szCs w:val="21"/>
        </w:rPr>
        <w:t>GB/T 5490</w:t>
      </w:r>
      <w:r>
        <w:rPr>
          <w:rFonts w:hint="eastAsia" w:hAnsi="宋体"/>
          <w:szCs w:val="21"/>
        </w:rPr>
        <w:t>执行。</w:t>
      </w:r>
    </w:p>
    <w:p>
      <w:pPr>
        <w:spacing w:before="156" w:beforeLines="50" w:after="312"/>
        <w:rPr>
          <w:rFonts w:ascii="黑体" w:hAnsi="黑体" w:eastAsia="黑体"/>
        </w:rPr>
      </w:pPr>
      <w:r>
        <w:rPr>
          <w:rFonts w:hint="eastAsia" w:ascii="黑体" w:hAnsi="黑体" w:eastAsia="黑体"/>
        </w:rPr>
        <w:t>6.2</w:t>
      </w:r>
      <w:r>
        <w:t xml:space="preserve"> </w:t>
      </w:r>
      <w:r>
        <w:rPr>
          <w:rFonts w:hint="eastAsia"/>
        </w:rPr>
        <w:t xml:space="preserve"> </w:t>
      </w:r>
      <w:r>
        <w:rPr>
          <w:rFonts w:ascii="黑体" w:hAnsi="黑体" w:eastAsia="黑体"/>
        </w:rPr>
        <w:t>扦样</w:t>
      </w:r>
    </w:p>
    <w:p>
      <w:pPr>
        <w:spacing w:before="156" w:beforeLines="50" w:after="312"/>
        <w:ind w:firstLine="420" w:firstLineChars="200"/>
        <w:rPr>
          <w:rFonts w:ascii="黑体" w:hAnsi="黑体" w:eastAsia="黑体"/>
        </w:rPr>
      </w:pPr>
      <w:r>
        <w:rPr>
          <w:rFonts w:hint="eastAsia" w:ascii="宋体" w:hAnsi="宋体"/>
        </w:rPr>
        <w:t>按照GB/T 5524执行</w:t>
      </w:r>
      <w:r>
        <w:rPr>
          <w:rFonts w:hint="eastAsia" w:ascii="黑体" w:hAnsi="黑体" w:eastAsia="黑体"/>
        </w:rPr>
        <w:t>。</w:t>
      </w:r>
    </w:p>
    <w:p>
      <w:pPr>
        <w:widowControl/>
        <w:spacing w:before="156" w:beforeLines="50" w:after="156" w:afterLines="50"/>
        <w:jc w:val="left"/>
        <w:outlineLvl w:val="2"/>
        <w:rPr>
          <w:rFonts w:ascii="黑体" w:hAnsi="黑体" w:eastAsia="黑体"/>
          <w:kern w:val="0"/>
          <w:szCs w:val="21"/>
        </w:rPr>
      </w:pPr>
      <w:r>
        <w:rPr>
          <w:rFonts w:hint="eastAsia" w:ascii="黑体" w:hAnsi="黑体" w:eastAsia="黑体"/>
          <w:kern w:val="0"/>
          <w:szCs w:val="21"/>
        </w:rPr>
        <w:t>6.3  出厂检验</w:t>
      </w:r>
    </w:p>
    <w:p>
      <w:pPr>
        <w:spacing w:before="156" w:beforeLines="50" w:after="312"/>
        <w:rPr>
          <w:rFonts w:ascii="黑体" w:hAnsi="黑体" w:eastAsia="黑体"/>
        </w:rPr>
      </w:pPr>
      <w:r>
        <w:rPr>
          <w:rFonts w:hint="eastAsia" w:ascii="黑体" w:hAnsi="黑体" w:eastAsia="黑体"/>
        </w:rPr>
        <w:t xml:space="preserve">6.3.1  </w:t>
      </w:r>
      <w:r>
        <w:rPr>
          <w:rFonts w:hint="eastAsia" w:ascii="宋体" w:hAnsi="宋体"/>
        </w:rPr>
        <w:t>应逐批检验，并出具检验报告</w:t>
      </w:r>
      <w:r>
        <w:rPr>
          <w:rFonts w:hint="eastAsia" w:ascii="黑体" w:hAnsi="黑体" w:eastAsia="黑体"/>
        </w:rPr>
        <w:t>。</w:t>
      </w:r>
    </w:p>
    <w:p>
      <w:pPr>
        <w:spacing w:before="156" w:beforeLines="50" w:after="312"/>
        <w:rPr>
          <w:rFonts w:ascii="黑体" w:hAnsi="黑体" w:eastAsia="黑体"/>
        </w:rPr>
      </w:pPr>
      <w:r>
        <w:rPr>
          <w:rFonts w:hint="eastAsia" w:ascii="黑体" w:hAnsi="黑体" w:eastAsia="黑体"/>
        </w:rPr>
        <w:t xml:space="preserve">6.3.2  </w:t>
      </w:r>
      <w:r>
        <w:rPr>
          <w:rFonts w:hint="eastAsia" w:ascii="宋体" w:hAnsi="宋体"/>
        </w:rPr>
        <w:t>按本文件4.2规定的项目检验</w:t>
      </w:r>
      <w:r>
        <w:rPr>
          <w:rFonts w:hint="eastAsia" w:ascii="黑体" w:hAnsi="黑体" w:eastAsia="黑体"/>
        </w:rPr>
        <w:t>。</w:t>
      </w:r>
    </w:p>
    <w:p>
      <w:pPr>
        <w:widowControl/>
        <w:spacing w:before="156" w:beforeLines="50" w:after="156" w:afterLines="50"/>
        <w:jc w:val="left"/>
        <w:outlineLvl w:val="2"/>
        <w:rPr>
          <w:rFonts w:ascii="黑体" w:hAnsi="黑体" w:eastAsia="黑体"/>
          <w:kern w:val="0"/>
          <w:szCs w:val="21"/>
        </w:rPr>
      </w:pPr>
      <w:r>
        <w:rPr>
          <w:rFonts w:hint="eastAsia" w:ascii="黑体" w:hAnsi="黑体" w:eastAsia="黑体"/>
          <w:kern w:val="0"/>
          <w:szCs w:val="21"/>
        </w:rPr>
        <w:t>6.4  型式检验</w:t>
      </w:r>
    </w:p>
    <w:p>
      <w:pPr>
        <w:spacing w:before="156" w:beforeLines="50" w:after="312"/>
        <w:rPr>
          <w:rFonts w:ascii="宋体" w:hAnsi="宋体"/>
        </w:rPr>
      </w:pPr>
      <w:r>
        <w:rPr>
          <w:rFonts w:hint="eastAsia" w:ascii="黑体" w:hAnsi="黑体" w:eastAsia="黑体"/>
        </w:rPr>
        <w:t xml:space="preserve">6.4.1  </w:t>
      </w:r>
      <w:r>
        <w:rPr>
          <w:rFonts w:hint="eastAsia" w:ascii="宋体" w:hAnsi="宋体"/>
        </w:rPr>
        <w:t>当原料、设备、工艺有较大变化或质量监督部门提出要求时，均应进行型式检验。</w:t>
      </w:r>
    </w:p>
    <w:p>
      <w:pPr>
        <w:spacing w:before="156" w:beforeLines="50" w:after="312"/>
        <w:rPr>
          <w:rFonts w:ascii="黑体" w:hAnsi="黑体" w:eastAsia="黑体"/>
        </w:rPr>
      </w:pPr>
      <w:r>
        <w:rPr>
          <w:rFonts w:hint="eastAsia" w:ascii="黑体" w:hAnsi="黑体" w:eastAsia="黑体"/>
        </w:rPr>
        <w:t xml:space="preserve">6.4.2 </w:t>
      </w:r>
      <w:r>
        <w:rPr>
          <w:rFonts w:hint="eastAsia" w:ascii="宋体" w:hAnsi="宋体"/>
        </w:rPr>
        <w:t>按4.2和4.3的规定项目检验。</w:t>
      </w:r>
    </w:p>
    <w:p>
      <w:pPr>
        <w:widowControl/>
        <w:spacing w:before="156" w:beforeLines="50" w:after="156" w:afterLines="50"/>
        <w:jc w:val="left"/>
        <w:outlineLvl w:val="2"/>
        <w:rPr>
          <w:rFonts w:ascii="黑体" w:hAnsi="黑体" w:eastAsia="黑体"/>
          <w:kern w:val="0"/>
          <w:szCs w:val="21"/>
        </w:rPr>
      </w:pPr>
      <w:r>
        <w:rPr>
          <w:rFonts w:hint="eastAsia" w:ascii="黑体" w:hAnsi="黑体" w:eastAsia="黑体"/>
          <w:kern w:val="0"/>
          <w:szCs w:val="21"/>
        </w:rPr>
        <w:t>6.5  判定规则</w:t>
      </w:r>
    </w:p>
    <w:p>
      <w:pPr>
        <w:spacing w:before="156" w:beforeLines="50" w:after="312"/>
        <w:rPr>
          <w:rFonts w:ascii="黑体" w:hAnsi="黑体" w:eastAsia="黑体"/>
        </w:rPr>
      </w:pPr>
      <w:r>
        <w:rPr>
          <w:rFonts w:hint="eastAsia" w:ascii="黑体" w:hAnsi="黑体" w:eastAsia="黑体"/>
        </w:rPr>
        <w:t xml:space="preserve">6.5.1  </w:t>
      </w:r>
      <w:r>
        <w:rPr>
          <w:rFonts w:hint="eastAsia" w:ascii="宋体" w:hAnsi="宋体"/>
        </w:rPr>
        <w:t>产品经检验，有一项不符合表1规定值时，判定为不合格产品。</w:t>
      </w:r>
    </w:p>
    <w:p>
      <w:pPr>
        <w:spacing w:before="156" w:beforeLines="50" w:after="312"/>
        <w:rPr>
          <w:rFonts w:ascii="黑体" w:hAnsi="黑体" w:eastAsia="黑体"/>
        </w:rPr>
      </w:pPr>
      <w:r>
        <w:rPr>
          <w:rFonts w:hint="eastAsia" w:ascii="黑体" w:hAnsi="黑体" w:eastAsia="黑体"/>
        </w:rPr>
        <w:t xml:space="preserve">6.5.2  </w:t>
      </w:r>
      <w:r>
        <w:rPr>
          <w:rFonts w:hint="eastAsia" w:ascii="宋体" w:hAnsi="宋体"/>
        </w:rPr>
        <w:t>食品安全要求指标中有一项检验结果不符合要求时，判定该产品为不合格产品。</w:t>
      </w:r>
    </w:p>
    <w:p>
      <w:pPr>
        <w:widowControl/>
        <w:spacing w:before="312" w:beforeLines="100" w:after="312" w:afterLines="100"/>
        <w:outlineLvl w:val="1"/>
        <w:rPr>
          <w:rFonts w:ascii="黑体" w:eastAsia="黑体"/>
          <w:kern w:val="0"/>
          <w:szCs w:val="20"/>
        </w:rPr>
      </w:pPr>
      <w:r>
        <w:rPr>
          <w:rFonts w:hint="eastAsia" w:ascii="黑体" w:eastAsia="黑体"/>
          <w:kern w:val="0"/>
          <w:szCs w:val="20"/>
        </w:rPr>
        <w:t>7  标签、标识</w:t>
      </w:r>
    </w:p>
    <w:p>
      <w:pPr>
        <w:spacing w:before="156" w:beforeLines="50" w:after="312"/>
        <w:rPr>
          <w:rFonts w:ascii="黑体" w:hAnsi="黑体" w:eastAsia="黑体"/>
        </w:rPr>
      </w:pPr>
      <w:r>
        <w:rPr>
          <w:rFonts w:hint="eastAsia" w:ascii="黑体" w:hAnsi="黑体" w:eastAsia="黑体"/>
        </w:rPr>
        <w:t xml:space="preserve">7.1 </w:t>
      </w:r>
      <w:r>
        <w:rPr>
          <w:rFonts w:hint="eastAsia" w:ascii="宋体" w:hAnsi="宋体"/>
        </w:rPr>
        <w:t xml:space="preserve"> 应符合GB 7718和GB 28050的规定。</w:t>
      </w:r>
    </w:p>
    <w:p>
      <w:pPr>
        <w:spacing w:before="156" w:beforeLines="50" w:after="312"/>
        <w:rPr>
          <w:rFonts w:ascii="黑体" w:hAnsi="黑体" w:eastAsia="黑体"/>
        </w:rPr>
      </w:pPr>
      <w:r>
        <w:rPr>
          <w:rFonts w:hint="eastAsia" w:ascii="黑体" w:hAnsi="黑体" w:eastAsia="黑体"/>
        </w:rPr>
        <w:t xml:space="preserve">7.2  </w:t>
      </w:r>
      <w:r>
        <w:rPr>
          <w:rFonts w:hint="eastAsia" w:ascii="宋体" w:hAnsi="宋体"/>
        </w:rPr>
        <w:t>根据术语和定义内容标注产品名称。。</w:t>
      </w:r>
    </w:p>
    <w:p>
      <w:pPr>
        <w:widowControl/>
        <w:spacing w:before="312" w:beforeLines="100" w:after="312" w:afterLines="100"/>
        <w:outlineLvl w:val="1"/>
        <w:rPr>
          <w:rFonts w:ascii="黑体" w:eastAsia="黑体"/>
          <w:kern w:val="0"/>
          <w:szCs w:val="20"/>
        </w:rPr>
      </w:pPr>
      <w:r>
        <w:rPr>
          <w:rFonts w:hint="eastAsia" w:ascii="黑体" w:eastAsia="黑体"/>
          <w:kern w:val="0"/>
          <w:szCs w:val="20"/>
        </w:rPr>
        <w:t>8  包装、储存、运输和销售</w:t>
      </w:r>
    </w:p>
    <w:p>
      <w:pPr>
        <w:widowControl/>
        <w:spacing w:before="156" w:beforeLines="50" w:after="156" w:afterLines="50"/>
        <w:jc w:val="left"/>
        <w:outlineLvl w:val="3"/>
        <w:rPr>
          <w:rFonts w:ascii="黑体" w:hAnsi="黑体" w:eastAsia="黑体"/>
          <w:kern w:val="0"/>
          <w:szCs w:val="21"/>
        </w:rPr>
      </w:pPr>
      <w:r>
        <w:rPr>
          <w:rFonts w:hint="eastAsia" w:ascii="黑体" w:hAnsi="黑体" w:eastAsia="黑体"/>
          <w:kern w:val="0"/>
          <w:szCs w:val="21"/>
        </w:rPr>
        <w:t>8.1 包装</w:t>
      </w:r>
    </w:p>
    <w:p>
      <w:pPr>
        <w:widowControl/>
        <w:spacing w:before="156" w:beforeLines="50" w:after="156" w:afterLines="50"/>
        <w:jc w:val="left"/>
        <w:outlineLvl w:val="3"/>
        <w:rPr>
          <w:rFonts w:ascii="黑体" w:hAnsi="黑体" w:eastAsia="黑体"/>
          <w:kern w:val="0"/>
          <w:szCs w:val="21"/>
        </w:rPr>
      </w:pPr>
      <w:r>
        <w:rPr>
          <w:rFonts w:hint="eastAsia" w:ascii="黑体" w:hAnsi="黑体" w:eastAsia="黑体"/>
          <w:kern w:val="0"/>
          <w:szCs w:val="21"/>
        </w:rPr>
        <w:t>8.1.1　</w:t>
      </w:r>
      <w:r>
        <w:rPr>
          <w:rFonts w:hint="eastAsia" w:ascii="宋体" w:hAnsi="宋体"/>
          <w:kern w:val="0"/>
          <w:szCs w:val="21"/>
        </w:rPr>
        <w:t>应符合GB/T 17374及国家的有关规定和要求</w:t>
      </w:r>
      <w:r>
        <w:rPr>
          <w:rFonts w:hint="eastAsia" w:ascii="黑体" w:hAnsi="黑体" w:eastAsia="黑体"/>
          <w:kern w:val="0"/>
          <w:szCs w:val="21"/>
        </w:rPr>
        <w:t>。</w:t>
      </w:r>
    </w:p>
    <w:p>
      <w:pPr>
        <w:widowControl/>
        <w:spacing w:before="156" w:beforeLines="50" w:after="156" w:afterLines="50"/>
        <w:jc w:val="left"/>
        <w:outlineLvl w:val="3"/>
        <w:rPr>
          <w:rFonts w:ascii="黑体" w:hAnsi="黑体" w:eastAsia="黑体"/>
          <w:kern w:val="0"/>
          <w:szCs w:val="21"/>
        </w:rPr>
      </w:pPr>
      <w:r>
        <w:rPr>
          <w:rFonts w:hint="eastAsia" w:ascii="黑体" w:hAnsi="黑体" w:eastAsia="黑体"/>
          <w:kern w:val="0"/>
          <w:szCs w:val="21"/>
        </w:rPr>
        <w:t>8.1.2　</w:t>
      </w:r>
      <w:r>
        <w:rPr>
          <w:rFonts w:hint="eastAsia" w:ascii="宋体" w:hAnsi="宋体"/>
          <w:kern w:val="0"/>
          <w:szCs w:val="21"/>
        </w:rPr>
        <w:t>包装储运图示标志应符合GB/T 191的规定</w:t>
      </w:r>
      <w:r>
        <w:rPr>
          <w:rFonts w:hint="eastAsia" w:ascii="黑体" w:hAnsi="黑体" w:eastAsia="黑体"/>
          <w:kern w:val="0"/>
          <w:szCs w:val="21"/>
        </w:rPr>
        <w:t>。</w:t>
      </w:r>
    </w:p>
    <w:p>
      <w:pPr>
        <w:widowControl/>
        <w:spacing w:before="156" w:beforeLines="50" w:after="156" w:afterLines="50"/>
        <w:jc w:val="left"/>
        <w:outlineLvl w:val="3"/>
        <w:rPr>
          <w:rFonts w:ascii="黑体" w:hAnsi="黑体" w:eastAsia="黑体"/>
          <w:kern w:val="0"/>
          <w:szCs w:val="21"/>
        </w:rPr>
      </w:pPr>
      <w:r>
        <w:rPr>
          <w:rFonts w:hint="eastAsia" w:ascii="黑体" w:hAnsi="黑体" w:eastAsia="黑体"/>
          <w:kern w:val="0"/>
          <w:szCs w:val="21"/>
        </w:rPr>
        <w:t>8.2 储存</w:t>
      </w:r>
    </w:p>
    <w:p>
      <w:pPr>
        <w:widowControl/>
        <w:tabs>
          <w:tab w:val="center" w:pos="4201"/>
          <w:tab w:val="right" w:leader="dot" w:pos="9298"/>
        </w:tabs>
        <w:autoSpaceDE w:val="0"/>
        <w:autoSpaceDN w:val="0"/>
        <w:ind w:firstLine="420" w:firstLineChars="200"/>
        <w:rPr>
          <w:rFonts w:ascii="宋体" w:hAnsi="宋体"/>
          <w:kern w:val="0"/>
          <w:szCs w:val="20"/>
        </w:rPr>
      </w:pPr>
      <w:r>
        <w:rPr>
          <w:rFonts w:hint="eastAsia" w:ascii="宋体" w:hAnsi="宋体"/>
          <w:kern w:val="0"/>
          <w:szCs w:val="20"/>
        </w:rPr>
        <w:t>应储存在卫生、阴凉、干燥、避光的地方，不得与有害、有毒物品一同存放，尤其要避开有异常气味的物品。</w:t>
      </w:r>
    </w:p>
    <w:p>
      <w:pPr>
        <w:widowControl/>
        <w:spacing w:before="156" w:beforeLines="50" w:after="156" w:afterLines="50"/>
        <w:jc w:val="left"/>
        <w:outlineLvl w:val="3"/>
        <w:rPr>
          <w:rFonts w:ascii="黑体" w:hAnsi="黑体" w:eastAsia="黑体"/>
          <w:kern w:val="0"/>
          <w:szCs w:val="21"/>
        </w:rPr>
      </w:pPr>
      <w:r>
        <w:rPr>
          <w:rFonts w:hint="eastAsia" w:ascii="黑体" w:hAnsi="黑体" w:eastAsia="黑体"/>
          <w:kern w:val="0"/>
          <w:szCs w:val="21"/>
        </w:rPr>
        <w:t>8.3 运输</w:t>
      </w:r>
    </w:p>
    <w:p>
      <w:pPr>
        <w:widowControl/>
        <w:tabs>
          <w:tab w:val="center" w:pos="4201"/>
          <w:tab w:val="right" w:leader="dot" w:pos="9298"/>
        </w:tabs>
        <w:autoSpaceDE w:val="0"/>
        <w:autoSpaceDN w:val="0"/>
        <w:ind w:firstLine="420" w:firstLineChars="200"/>
        <w:rPr>
          <w:rFonts w:ascii="宋体" w:hAnsi="宋体"/>
          <w:kern w:val="0"/>
          <w:szCs w:val="20"/>
        </w:rPr>
      </w:pPr>
      <w:r>
        <w:rPr>
          <w:rFonts w:hint="eastAsia" w:ascii="宋体" w:hAnsi="宋体"/>
          <w:kern w:val="0"/>
          <w:szCs w:val="20"/>
        </w:rPr>
        <w:t>运输中应注意安全，防止日晒、雨淋、渗漏、污染和标签脱落。散装运输符</w:t>
      </w:r>
      <w:r>
        <w:rPr>
          <w:rFonts w:hint="eastAsia" w:hAnsi="宋体"/>
          <w:kern w:val="0"/>
          <w:szCs w:val="20"/>
        </w:rPr>
        <w:t>合</w:t>
      </w:r>
      <w:r>
        <w:rPr>
          <w:rFonts w:hAnsi="宋体"/>
          <w:kern w:val="0"/>
          <w:szCs w:val="20"/>
        </w:rPr>
        <w:t>GB/T 30354</w:t>
      </w:r>
      <w:r>
        <w:rPr>
          <w:rFonts w:hint="eastAsia" w:hAnsi="宋体"/>
          <w:kern w:val="0"/>
          <w:szCs w:val="20"/>
        </w:rPr>
        <w:t>的要</w:t>
      </w:r>
      <w:r>
        <w:rPr>
          <w:rFonts w:hint="eastAsia" w:ascii="宋体" w:hAnsi="宋体"/>
          <w:kern w:val="0"/>
          <w:szCs w:val="20"/>
        </w:rPr>
        <w:t>求。</w:t>
      </w:r>
    </w:p>
    <w:p>
      <w:pPr>
        <w:widowControl/>
        <w:spacing w:before="156" w:beforeLines="50" w:after="156" w:afterLines="50"/>
        <w:jc w:val="left"/>
        <w:outlineLvl w:val="3"/>
        <w:rPr>
          <w:rFonts w:ascii="黑体" w:hAnsi="黑体" w:eastAsia="黑体"/>
          <w:kern w:val="0"/>
          <w:szCs w:val="21"/>
        </w:rPr>
      </w:pPr>
      <w:r>
        <w:rPr>
          <w:rFonts w:hint="eastAsia" w:ascii="黑体" w:hAnsi="黑体" w:eastAsia="黑体"/>
          <w:kern w:val="0"/>
          <w:szCs w:val="21"/>
        </w:rPr>
        <w:t>8.4 销售</w:t>
      </w:r>
    </w:p>
    <w:p>
      <w:pPr>
        <w:pStyle w:val="9"/>
        <w:rPr>
          <w:kern w:val="0"/>
          <w:szCs w:val="20"/>
        </w:rPr>
      </w:pPr>
      <w:r>
        <w:rPr>
          <w:rFonts w:hint="eastAsia"/>
          <w:szCs w:val="24"/>
        </w:rPr>
        <w:t>迷迭香油在零售终端不得脱离原包装散装销售</w:t>
      </w:r>
      <w:r>
        <w:rPr>
          <w:rFonts w:hint="eastAsia"/>
        </w:rPr>
        <w:t>。</w:t>
      </w:r>
    </w:p>
    <w:p>
      <w:pPr>
        <w:spacing w:before="312" w:beforeLines="100" w:after="312" w:afterLines="100"/>
        <w:jc w:val="center"/>
        <w:rPr>
          <w:sz w:val="24"/>
        </w:rPr>
      </w:pPr>
    </w:p>
    <w:p>
      <w:pPr>
        <w:spacing w:before="312" w:beforeLines="100" w:after="312" w:afterLines="100"/>
        <w:jc w:val="center"/>
        <w:rPr>
          <w:sz w:val="24"/>
        </w:rPr>
      </w:pPr>
    </w:p>
    <w:p>
      <w:pPr>
        <w:spacing w:before="312" w:beforeLines="100" w:after="312" w:afterLines="100"/>
        <w:jc w:val="center"/>
        <w:rPr>
          <w:sz w:val="24"/>
        </w:rPr>
      </w:pPr>
    </w:p>
    <w:p>
      <w:pPr>
        <w:spacing w:before="312" w:beforeLines="100" w:after="312" w:afterLines="100"/>
        <w:jc w:val="center"/>
        <w:rPr>
          <w:sz w:val="24"/>
        </w:rPr>
      </w:pPr>
    </w:p>
    <w:p>
      <w:pPr>
        <w:spacing w:before="312" w:beforeLines="100" w:after="312" w:afterLines="100"/>
        <w:jc w:val="center"/>
        <w:rPr>
          <w:sz w:val="24"/>
        </w:rPr>
      </w:pPr>
    </w:p>
    <w:p>
      <w:pPr>
        <w:spacing w:before="312" w:beforeLines="100" w:after="312" w:afterLines="100"/>
        <w:jc w:val="center"/>
        <w:rPr>
          <w:sz w:val="24"/>
        </w:rPr>
      </w:pPr>
    </w:p>
    <w:p>
      <w:pPr>
        <w:spacing w:before="312" w:beforeLines="100" w:after="312" w:afterLines="100"/>
        <w:jc w:val="center"/>
        <w:rPr>
          <w:sz w:val="24"/>
        </w:rPr>
      </w:pPr>
    </w:p>
    <w:p>
      <w:pPr>
        <w:spacing w:before="312" w:beforeLines="100" w:after="312" w:afterLines="100"/>
        <w:jc w:val="center"/>
        <w:rPr>
          <w:sz w:val="24"/>
        </w:rPr>
      </w:pPr>
    </w:p>
    <w:p>
      <w:pPr>
        <w:spacing w:before="312" w:beforeLines="100" w:after="312" w:afterLines="100"/>
        <w:jc w:val="center"/>
        <w:rPr>
          <w:sz w:val="24"/>
        </w:rPr>
      </w:pPr>
    </w:p>
    <w:p>
      <w:pPr>
        <w:spacing w:before="312" w:beforeLines="100" w:after="312" w:afterLines="100"/>
        <w:jc w:val="center"/>
        <w:rPr>
          <w:sz w:val="24"/>
        </w:rPr>
      </w:pPr>
    </w:p>
    <w:p>
      <w:pPr>
        <w:spacing w:before="312" w:beforeLines="100" w:after="312" w:afterLines="100"/>
        <w:jc w:val="center"/>
        <w:rPr>
          <w:sz w:val="24"/>
        </w:rPr>
      </w:pPr>
    </w:p>
    <w:p>
      <w:pPr>
        <w:spacing w:before="312" w:beforeLines="100" w:after="312" w:afterLines="100"/>
        <w:jc w:val="center"/>
        <w:rPr>
          <w:sz w:val="24"/>
        </w:rPr>
      </w:pPr>
    </w:p>
    <w:p>
      <w:pPr>
        <w:spacing w:before="312" w:beforeLines="100" w:after="312" w:afterLines="100"/>
        <w:rPr>
          <w:sz w:val="24"/>
        </w:rPr>
      </w:pPr>
    </w:p>
    <w:p>
      <w:pPr>
        <w:spacing w:before="312" w:beforeLines="100" w:after="312" w:afterLines="100"/>
        <w:rPr>
          <w:sz w:val="24"/>
        </w:rPr>
      </w:pPr>
    </w:p>
    <w:p>
      <w:pPr>
        <w:spacing w:before="312" w:beforeLines="100" w:after="312" w:afterLines="100"/>
        <w:rPr>
          <w:sz w:val="24"/>
        </w:rPr>
      </w:pPr>
    </w:p>
    <w:p>
      <w:pPr>
        <w:spacing w:before="312" w:beforeLines="100" w:after="312" w:afterLines="100"/>
        <w:rPr>
          <w:sz w:val="24"/>
        </w:rPr>
      </w:pPr>
    </w:p>
    <w:p>
      <w:pPr>
        <w:spacing w:before="312" w:beforeLines="100" w:after="312" w:afterLines="100"/>
        <w:rPr>
          <w:sz w:val="24"/>
        </w:rPr>
      </w:pPr>
    </w:p>
    <w:p>
      <w:pPr>
        <w:spacing w:before="312" w:beforeLines="100" w:after="312" w:afterLines="100"/>
        <w:rPr>
          <w:sz w:val="24"/>
        </w:rPr>
      </w:pPr>
    </w:p>
    <w:p>
      <w:pPr>
        <w:spacing w:before="312" w:beforeLines="100" w:after="312" w:afterLines="100"/>
        <w:rPr>
          <w:sz w:val="24"/>
        </w:rPr>
      </w:pPr>
    </w:p>
    <w:p>
      <w:pPr>
        <w:spacing w:before="312" w:beforeLines="100" w:after="312" w:afterLines="100"/>
        <w:jc w:val="center"/>
        <w:rPr>
          <w:rFonts w:ascii="黑体" w:hAnsi="黑体" w:eastAsia="黑体"/>
          <w:szCs w:val="21"/>
        </w:rPr>
      </w:pPr>
      <w:r>
        <w:rPr>
          <w:rFonts w:hint="eastAsia" w:ascii="黑体" w:hAnsi="黑体" w:eastAsia="黑体"/>
          <w:szCs w:val="21"/>
        </w:rPr>
        <w:t>附  录   A</w:t>
      </w:r>
    </w:p>
    <w:p>
      <w:pPr>
        <w:spacing w:before="312" w:beforeLines="100" w:after="312" w:afterLines="100"/>
        <w:ind w:firstLine="3570" w:firstLineChars="1700"/>
        <w:rPr>
          <w:rFonts w:ascii="黑体" w:hAnsi="黑体" w:eastAsia="黑体"/>
          <w:szCs w:val="21"/>
        </w:rPr>
      </w:pPr>
      <w:r>
        <w:rPr>
          <w:rFonts w:hint="eastAsia" w:ascii="黑体" w:hAnsi="黑体" w:eastAsia="黑体"/>
          <w:szCs w:val="21"/>
        </w:rPr>
        <w:t>（规范性）</w:t>
      </w:r>
    </w:p>
    <w:p>
      <w:pPr>
        <w:spacing w:before="312" w:beforeLines="100" w:after="312" w:afterLines="100"/>
        <w:jc w:val="center"/>
        <w:rPr>
          <w:rFonts w:ascii="黑体" w:hAnsi="黑体" w:eastAsia="黑体" w:cs="宋体"/>
          <w:szCs w:val="21"/>
        </w:rPr>
      </w:pPr>
      <w:r>
        <w:rPr>
          <w:rFonts w:hint="eastAsia" w:ascii="黑体" w:hAnsi="黑体" w:eastAsia="黑体" w:cs="宋体"/>
          <w:szCs w:val="21"/>
        </w:rPr>
        <w:t>马鞭草烯酮含量测定</w:t>
      </w:r>
    </w:p>
    <w:p>
      <w:pPr>
        <w:widowControl/>
        <w:jc w:val="left"/>
        <w:rPr>
          <w:rFonts w:ascii="黑体" w:hAnsi="黑体" w:eastAsia="黑体" w:cs="宋体"/>
          <w:bCs/>
        </w:rPr>
      </w:pPr>
      <w:r>
        <w:rPr>
          <w:rFonts w:hint="eastAsia" w:ascii="黑体" w:hAnsi="黑体" w:eastAsia="黑体" w:cs="宋体"/>
          <w:bCs/>
        </w:rPr>
        <w:t>A.1 一般规定</w:t>
      </w:r>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本文件所用试剂和水在未注明其他要求时,均指分析纯试剂和 GB/T6682规定的三级水。试验中所用标准溶液、杂质测定用标准溶液、制剂和制品在未注明其他要求时,均按 GB/T601、GB/T602、GB/T603的规定制备。试验中所用溶液在未注明用何种溶剂配制时,均指水溶液。</w:t>
      </w:r>
    </w:p>
    <w:p>
      <w:pPr>
        <w:widowControl/>
        <w:jc w:val="left"/>
        <w:rPr>
          <w:rFonts w:ascii="宋体" w:hAnsi="宋体" w:cs="宋体"/>
          <w:color w:val="000000"/>
          <w:kern w:val="0"/>
          <w:szCs w:val="21"/>
          <w:lang w:bidi="ar"/>
        </w:rPr>
      </w:pPr>
      <w:r>
        <w:rPr>
          <w:rFonts w:hint="eastAsia" w:ascii="黑体" w:eastAsia="黑体"/>
          <w:szCs w:val="21"/>
          <w:lang w:bidi="ar"/>
        </w:rPr>
        <w:t xml:space="preserve">A.2 </w:t>
      </w:r>
      <w:r>
        <w:rPr>
          <w:rFonts w:hint="eastAsia" w:ascii="黑体" w:eastAsia="黑体"/>
          <w:szCs w:val="21"/>
        </w:rPr>
        <w:t>马鞭草烯酮含量测定</w:t>
      </w:r>
      <w:r>
        <w:rPr>
          <w:rFonts w:hint="eastAsia" w:ascii="宋体" w:hAnsi="宋体" w:cs="宋体"/>
          <w:color w:val="000000"/>
          <w:kern w:val="0"/>
          <w:szCs w:val="21"/>
          <w:lang w:bidi="ar"/>
        </w:rPr>
        <w:t xml:space="preserve"> </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A.2.1</w:t>
      </w:r>
      <w:r>
        <w:rPr>
          <w:rFonts w:hint="eastAsia" w:ascii="宋体" w:hAnsi="宋体" w:cs="宋体"/>
          <w:color w:val="000000"/>
          <w:kern w:val="0"/>
          <w:szCs w:val="21"/>
          <w:lang w:bidi="ar"/>
        </w:rPr>
        <w:t xml:space="preserve"> </w:t>
      </w:r>
      <w:r>
        <w:rPr>
          <w:rFonts w:hint="eastAsia" w:ascii="黑体" w:hAnsi="黑体" w:eastAsia="黑体" w:cs="宋体"/>
          <w:color w:val="000000"/>
          <w:kern w:val="0"/>
          <w:szCs w:val="21"/>
          <w:lang w:bidi="ar"/>
        </w:rPr>
        <w:t xml:space="preserve">方法提要 </w:t>
      </w:r>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马鞭草烯酮为挥发性成分，采用气相方法进行含量测定。</w:t>
      </w:r>
    </w:p>
    <w:p>
      <w:pPr>
        <w:widowControl/>
        <w:jc w:val="left"/>
        <w:rPr>
          <w:rFonts w:ascii="黑体" w:hAnsi="黑体" w:eastAsia="黑体" w:cs="宋体"/>
          <w:color w:val="000000"/>
          <w:kern w:val="0"/>
          <w:szCs w:val="21"/>
          <w:lang w:bidi="ar"/>
        </w:rPr>
      </w:pPr>
      <w:r>
        <w:rPr>
          <w:rFonts w:hint="eastAsia" w:ascii="黑体" w:hAnsi="黑体" w:eastAsia="黑体" w:cs="宋体"/>
          <w:color w:val="000000"/>
          <w:kern w:val="0"/>
          <w:szCs w:val="21"/>
          <w:lang w:bidi="ar"/>
        </w:rPr>
        <w:t xml:space="preserve">A.2.2 试剂和材料 </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A.2.2.1</w:t>
      </w:r>
      <w:r>
        <w:rPr>
          <w:rFonts w:hint="eastAsia" w:ascii="宋体" w:hAnsi="宋体" w:cs="宋体"/>
          <w:color w:val="000000"/>
          <w:kern w:val="0"/>
          <w:szCs w:val="21"/>
          <w:lang w:bidi="ar"/>
        </w:rPr>
        <w:t xml:space="preserve"> 无水甲醇:分析纯。 </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A.2.2.2</w:t>
      </w:r>
      <w:r>
        <w:rPr>
          <w:rFonts w:hint="eastAsia" w:ascii="宋体" w:hAnsi="宋体" w:cs="宋体"/>
          <w:color w:val="000000"/>
          <w:kern w:val="0"/>
          <w:szCs w:val="21"/>
          <w:lang w:bidi="ar"/>
        </w:rPr>
        <w:t xml:space="preserve"> 马鞭草烯酮标准品:纯度≥98%。</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 xml:space="preserve">A.2.3 </w:t>
      </w:r>
      <w:r>
        <w:rPr>
          <w:rFonts w:hint="eastAsia" w:ascii="宋体" w:hAnsi="宋体" w:cs="宋体"/>
          <w:color w:val="000000"/>
          <w:kern w:val="0"/>
          <w:szCs w:val="21"/>
          <w:lang w:bidi="ar"/>
        </w:rPr>
        <w:t xml:space="preserve">仪器和设备 </w:t>
      </w:r>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 xml:space="preserve">气相色谱仪，符合GB/T 9722相关要求。 </w:t>
      </w:r>
    </w:p>
    <w:p>
      <w:pPr>
        <w:widowControl/>
        <w:jc w:val="left"/>
        <w:rPr>
          <w:rFonts w:ascii="黑体" w:hAnsi="黑体" w:eastAsia="黑体" w:cs="宋体"/>
          <w:color w:val="000000"/>
          <w:kern w:val="0"/>
          <w:szCs w:val="21"/>
          <w:lang w:bidi="ar"/>
        </w:rPr>
      </w:pPr>
      <w:r>
        <w:rPr>
          <w:rFonts w:hint="eastAsia" w:ascii="黑体" w:hAnsi="黑体" w:eastAsia="黑体" w:cs="宋体"/>
          <w:color w:val="000000"/>
          <w:kern w:val="0"/>
          <w:szCs w:val="21"/>
          <w:lang w:bidi="ar"/>
        </w:rPr>
        <w:t xml:space="preserve">A.2.4 参考色谱条件 </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A.2.4.1</w:t>
      </w:r>
      <w:r>
        <w:rPr>
          <w:rFonts w:hint="eastAsia" w:ascii="宋体" w:hAnsi="宋体" w:cs="宋体"/>
          <w:color w:val="000000"/>
          <w:kern w:val="0"/>
          <w:szCs w:val="21"/>
          <w:lang w:bidi="ar"/>
        </w:rPr>
        <w:t xml:space="preserve"> 色谱柱：HP-1毛细管柱（30ｍ×0.320ｍｍ，0.25μm）;或其他等效的色谱柱。 </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A.2.4.2</w:t>
      </w:r>
      <w:r>
        <w:rPr>
          <w:rFonts w:hint="eastAsia" w:ascii="宋体" w:hAnsi="宋体" w:cs="宋体"/>
          <w:color w:val="000000"/>
          <w:kern w:val="0"/>
          <w:szCs w:val="21"/>
          <w:lang w:bidi="ar"/>
        </w:rPr>
        <w:t xml:space="preserve"> 检测器:FID检测器。 </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A.2.4.3</w:t>
      </w:r>
      <w:r>
        <w:rPr>
          <w:rFonts w:hint="eastAsia" w:ascii="宋体" w:hAnsi="宋体" w:cs="宋体"/>
          <w:color w:val="000000"/>
          <w:kern w:val="0"/>
          <w:szCs w:val="21"/>
          <w:lang w:bidi="ar"/>
        </w:rPr>
        <w:t xml:space="preserve"> 温度：进口温度250℃，检测器温度300℃。 </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A.2.4.4</w:t>
      </w:r>
      <w:r>
        <w:rPr>
          <w:rFonts w:hint="eastAsia" w:ascii="宋体" w:hAnsi="宋体" w:cs="宋体"/>
          <w:color w:val="000000"/>
          <w:kern w:val="0"/>
          <w:szCs w:val="21"/>
          <w:lang w:bidi="ar"/>
        </w:rPr>
        <w:t xml:space="preserve"> 载气：高纯氮气，纯度大于99.99%。</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 xml:space="preserve">A.2.4.5 </w:t>
      </w:r>
      <w:r>
        <w:rPr>
          <w:rFonts w:hint="eastAsia" w:ascii="宋体" w:hAnsi="宋体" w:cs="宋体"/>
          <w:color w:val="000000"/>
          <w:kern w:val="0"/>
          <w:szCs w:val="21"/>
          <w:lang w:bidi="ar"/>
        </w:rPr>
        <w:t>检测器气体流量：氢气，30mL/min；空气，400mL/min</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A.2.4.6</w:t>
      </w:r>
      <w:r>
        <w:rPr>
          <w:rFonts w:hint="eastAsia" w:ascii="宋体" w:hAnsi="宋体" w:cs="宋体"/>
          <w:color w:val="000000"/>
          <w:kern w:val="0"/>
          <w:szCs w:val="21"/>
          <w:lang w:bidi="ar"/>
        </w:rPr>
        <w:t xml:space="preserve">  柱流量及控制模式：恒压模式，柱流量1mL/min。</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A.2.4.7</w:t>
      </w:r>
      <w:r>
        <w:rPr>
          <w:rFonts w:hint="eastAsia" w:ascii="宋体" w:hAnsi="宋体" w:cs="宋体"/>
          <w:color w:val="000000"/>
          <w:kern w:val="0"/>
          <w:szCs w:val="21"/>
          <w:lang w:bidi="ar"/>
        </w:rPr>
        <w:t xml:space="preserve">  进样模式：分流进样，分流比1:10。</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 xml:space="preserve">A.2.4.8 </w:t>
      </w:r>
      <w:r>
        <w:rPr>
          <w:rFonts w:hint="eastAsia" w:ascii="宋体" w:hAnsi="宋体" w:cs="宋体"/>
          <w:color w:val="000000"/>
          <w:kern w:val="0"/>
          <w:szCs w:val="21"/>
          <w:lang w:bidi="ar"/>
        </w:rPr>
        <w:t xml:space="preserve"> 尾吹气流量：25mL/min。</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A.2.4.9</w:t>
      </w:r>
      <w:r>
        <w:rPr>
          <w:rFonts w:hint="eastAsia" w:ascii="宋体" w:hAnsi="宋体" w:cs="宋体"/>
          <w:color w:val="000000"/>
          <w:kern w:val="0"/>
          <w:szCs w:val="21"/>
          <w:lang w:bidi="ar"/>
        </w:rPr>
        <w:t xml:space="preserve"> 色谱柱温度程序：初始温度为50℃，以4℃/min的升温速率升至100℃，不保留，继续以8℃/min的升温速率升至140℃，不保留，继续以30℃/min的速率升温至230℃，保留2min。</w:t>
      </w:r>
    </w:p>
    <w:p>
      <w:pPr>
        <w:widowControl/>
        <w:jc w:val="left"/>
        <w:rPr>
          <w:rFonts w:ascii="黑体" w:hAnsi="黑体" w:eastAsia="黑体" w:cs="宋体"/>
          <w:color w:val="000000"/>
          <w:kern w:val="0"/>
          <w:szCs w:val="21"/>
          <w:lang w:bidi="ar"/>
        </w:rPr>
      </w:pPr>
      <w:r>
        <w:rPr>
          <w:rFonts w:hint="eastAsia" w:ascii="黑体" w:hAnsi="黑体" w:eastAsia="黑体" w:cs="宋体"/>
          <w:color w:val="000000"/>
          <w:kern w:val="0"/>
          <w:szCs w:val="21"/>
          <w:lang w:bidi="ar"/>
        </w:rPr>
        <w:t xml:space="preserve">A.2.5 分析步骤 </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A.2.5.1</w:t>
      </w:r>
      <w:r>
        <w:rPr>
          <w:rFonts w:hint="eastAsia" w:ascii="宋体" w:hAnsi="宋体" w:cs="宋体"/>
          <w:color w:val="000000"/>
          <w:kern w:val="0"/>
          <w:szCs w:val="21"/>
          <w:lang w:bidi="ar"/>
        </w:rPr>
        <w:t xml:space="preserve"> 绘制标准曲线 </w:t>
      </w:r>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以甲醇溶解马鞭草烯酮标准品,配制混合梯度标准溶液,使马鞭草烯酮浓度梯度在0.010 mg/mL-0.5mg/mL。在 A.2.4参考色谱条件下，对标准溶液进行测定，重复一次。根据标准溶液浓度和峰面积，绘制标准曲线。线性关系应达到R</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≥0.99</w:t>
      </w:r>
      <w:r>
        <w:rPr>
          <w:rFonts w:ascii="Arial" w:hAnsi="Arial" w:cs="Arial"/>
          <w:color w:val="000000"/>
          <w:kern w:val="0"/>
          <w:szCs w:val="21"/>
          <w:lang w:bidi="ar"/>
        </w:rPr>
        <w:t xml:space="preserve"> </w:t>
      </w:r>
      <w:r>
        <w:rPr>
          <w:rFonts w:hint="eastAsia" w:ascii="Arial" w:hAnsi="Arial" w:cs="Arial"/>
          <w:color w:val="000000"/>
          <w:kern w:val="0"/>
          <w:szCs w:val="21"/>
          <w:lang w:bidi="ar"/>
        </w:rPr>
        <w:t>。记录标准曲线的线性公式：</w:t>
      </w:r>
      <w:r>
        <w:rPr>
          <w:rFonts w:hint="eastAsia" w:ascii="宋体" w:hAnsi="宋体" w:cs="宋体"/>
          <w:color w:val="000000"/>
          <w:kern w:val="0"/>
          <w:szCs w:val="21"/>
          <w:lang w:bidi="ar"/>
        </w:rPr>
        <w:t>y=a</w:t>
      </w:r>
      <w:r>
        <w:rPr>
          <w:rFonts w:ascii="Arial" w:hAnsi="Arial" w:cs="Arial"/>
          <w:color w:val="000000"/>
          <w:kern w:val="0"/>
          <w:szCs w:val="21"/>
          <w:lang w:bidi="ar"/>
        </w:rPr>
        <w:t>×</w:t>
      </w:r>
      <w:r>
        <w:rPr>
          <w:rFonts w:hint="eastAsia" w:ascii="宋体" w:hAnsi="宋体" w:cs="宋体"/>
          <w:color w:val="000000"/>
          <w:kern w:val="0"/>
          <w:szCs w:val="21"/>
          <w:lang w:bidi="ar"/>
        </w:rPr>
        <w:t>c+b。其中，c是马鞭草烯酮的浓度,y是这个浓度对应的峰面积,a 和b 分别为标准曲线的斜率和截距。</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A.2.5.2</w:t>
      </w:r>
      <w:r>
        <w:rPr>
          <w:rFonts w:hint="eastAsia" w:ascii="宋体" w:hAnsi="宋体" w:cs="宋体"/>
          <w:color w:val="000000"/>
          <w:kern w:val="0"/>
          <w:szCs w:val="21"/>
          <w:lang w:bidi="ar"/>
        </w:rPr>
        <w:t xml:space="preserve"> 试样溶液的制备 </w:t>
      </w:r>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 xml:space="preserve">称取试样分别取0.500g迷迭香油样品，用无水甲醇充分混匀溶解，定容至10ml，0.45μm 微孔滤膜过滤。 </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A.2.5.3</w:t>
      </w:r>
      <w:r>
        <w:rPr>
          <w:rFonts w:hint="eastAsia" w:ascii="宋体" w:hAnsi="宋体" w:cs="宋体"/>
          <w:color w:val="000000"/>
          <w:kern w:val="0"/>
          <w:szCs w:val="21"/>
          <w:lang w:bidi="ar"/>
        </w:rPr>
        <w:t xml:space="preserve"> 测定在 A.2.4参考色谱条件下,对试样液进行测定,重复进样一次。记录峰面积y。</w:t>
      </w:r>
    </w:p>
    <w:p>
      <w:pPr>
        <w:widowControl/>
        <w:jc w:val="left"/>
        <w:rPr>
          <w:rFonts w:ascii="黑体" w:hAnsi="黑体" w:eastAsia="黑体" w:cs="宋体"/>
          <w:color w:val="000000"/>
          <w:kern w:val="0"/>
          <w:szCs w:val="21"/>
          <w:lang w:bidi="ar"/>
        </w:rPr>
      </w:pPr>
      <w:r>
        <w:rPr>
          <w:rFonts w:hint="eastAsia" w:ascii="黑体" w:hAnsi="黑体" w:eastAsia="黑体" w:cs="宋体"/>
          <w:color w:val="000000"/>
          <w:kern w:val="0"/>
          <w:szCs w:val="21"/>
          <w:lang w:bidi="ar"/>
        </w:rPr>
        <w:t xml:space="preserve">A.2.6 结果计算 </w:t>
      </w:r>
    </w:p>
    <w:p>
      <w:pPr>
        <w:widowControl/>
        <w:jc w:val="left"/>
        <w:rPr>
          <w:rFonts w:ascii="宋体" w:hAnsi="宋体" w:cs="宋体"/>
          <w:color w:val="000000"/>
          <w:kern w:val="0"/>
          <w:szCs w:val="21"/>
          <w:lang w:bidi="ar"/>
        </w:rPr>
      </w:pPr>
      <w:r>
        <w:rPr>
          <w:rFonts w:hint="eastAsia" w:ascii="黑体" w:hAnsi="黑体" w:eastAsia="黑体" w:cs="宋体"/>
          <w:color w:val="000000"/>
          <w:kern w:val="0"/>
          <w:szCs w:val="21"/>
          <w:lang w:bidi="ar"/>
        </w:rPr>
        <w:t>A.2.6.1</w:t>
      </w:r>
      <w:r>
        <w:rPr>
          <w:rFonts w:hint="eastAsia" w:ascii="宋体" w:hAnsi="宋体" w:cs="宋体"/>
          <w:color w:val="000000"/>
          <w:kern w:val="0"/>
          <w:szCs w:val="21"/>
          <w:lang w:bidi="ar"/>
        </w:rPr>
        <w:t xml:space="preserve"> 马鞭草烯酮的浓度c</w:t>
      </w:r>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 xml:space="preserve">马鞭草烯酮的浓度c,单位为毫克每毫升(mg/mL),按式(A.1)计算: </w:t>
      </w:r>
    </w:p>
    <w:p>
      <w:pPr>
        <w:widowControl/>
        <w:ind w:firstLine="1470" w:firstLineChars="700"/>
        <w:jc w:val="left"/>
        <w:rPr>
          <w:rFonts w:ascii="宋体" w:hAnsi="宋体" w:cs="宋体"/>
          <w:color w:val="000000"/>
          <w:kern w:val="0"/>
          <w:szCs w:val="21"/>
          <w:lang w:bidi="ar"/>
        </w:rPr>
      </w:pPr>
      <w:r>
        <w:rPr>
          <w:rFonts w:hint="eastAsia" w:ascii="宋体" w:hAnsi="宋体" w:cs="宋体"/>
          <w:color w:val="000000"/>
          <w:kern w:val="0"/>
          <w:szCs w:val="21"/>
          <w:lang w:bidi="ar"/>
        </w:rPr>
        <w:t>c =（y-b）/a     …………………………</w:t>
      </w:r>
      <w:r>
        <w:rPr>
          <w:rFonts w:hint="eastAsia" w:ascii="黑体" w:hAnsi="黑体" w:eastAsia="黑体" w:cs="宋体"/>
          <w:color w:val="000000"/>
          <w:kern w:val="0"/>
          <w:szCs w:val="21"/>
          <w:lang w:bidi="ar"/>
        </w:rPr>
        <w:t xml:space="preserve">(A.1) </w:t>
      </w:r>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 xml:space="preserve">式中: </w:t>
      </w:r>
    </w:p>
    <w:p>
      <w:pPr>
        <w:widowControl/>
        <w:ind w:firstLine="840" w:firstLineChars="400"/>
        <w:jc w:val="left"/>
        <w:rPr>
          <w:rFonts w:ascii="宋体" w:hAnsi="宋体" w:cs="宋体"/>
          <w:color w:val="000000"/>
          <w:kern w:val="0"/>
          <w:szCs w:val="21"/>
          <w:lang w:bidi="ar"/>
        </w:rPr>
      </w:pPr>
      <w:r>
        <w:rPr>
          <w:rFonts w:hint="eastAsia" w:ascii="宋体" w:hAnsi="宋体" w:cs="宋体"/>
          <w:color w:val="000000"/>
          <w:kern w:val="0"/>
          <w:szCs w:val="21"/>
          <w:lang w:bidi="ar"/>
        </w:rPr>
        <w:t xml:space="preserve">y ———试样溶液中的马鞭草烯酮的峰面积; </w:t>
      </w:r>
    </w:p>
    <w:p>
      <w:pPr>
        <w:widowControl/>
        <w:ind w:firstLine="840" w:firstLineChars="400"/>
        <w:jc w:val="left"/>
        <w:rPr>
          <w:rFonts w:ascii="宋体" w:hAnsi="宋体" w:cs="宋体"/>
          <w:color w:val="000000"/>
          <w:kern w:val="0"/>
          <w:szCs w:val="21"/>
          <w:lang w:bidi="ar"/>
        </w:rPr>
      </w:pPr>
      <w:r>
        <w:rPr>
          <w:rFonts w:hint="eastAsia" w:ascii="宋体" w:hAnsi="宋体" w:cs="宋体"/>
          <w:color w:val="000000"/>
          <w:kern w:val="0"/>
          <w:szCs w:val="21"/>
          <w:lang w:bidi="ar"/>
        </w:rPr>
        <w:t xml:space="preserve">b ———马鞭草烯酮标准曲线公式中的截距; </w:t>
      </w:r>
    </w:p>
    <w:p>
      <w:pPr>
        <w:widowControl/>
        <w:ind w:firstLine="840" w:firstLineChars="400"/>
        <w:jc w:val="left"/>
        <w:rPr>
          <w:rFonts w:ascii="宋体" w:hAnsi="宋体" w:cs="宋体"/>
          <w:color w:val="000000"/>
          <w:kern w:val="0"/>
          <w:szCs w:val="21"/>
          <w:lang w:bidi="ar"/>
        </w:rPr>
      </w:pPr>
      <w:r>
        <w:rPr>
          <w:rFonts w:hint="eastAsia" w:ascii="宋体" w:hAnsi="宋体" w:cs="宋体"/>
          <w:color w:val="000000"/>
          <w:kern w:val="0"/>
          <w:szCs w:val="21"/>
          <w:lang w:bidi="ar"/>
        </w:rPr>
        <w:t>a ———马鞭草烯酮标准曲线公式中的斜率</w:t>
      </w:r>
    </w:p>
    <w:p>
      <w:pPr>
        <w:widowControl/>
        <w:spacing w:line="360" w:lineRule="auto"/>
        <w:ind w:firstLine="420" w:firstLineChars="200"/>
        <w:jc w:val="left"/>
        <w:rPr>
          <w:rFonts w:ascii="宋体" w:hAnsi="宋体" w:cs="宋体"/>
          <w:color w:val="000000"/>
          <w:kern w:val="0"/>
          <w:szCs w:val="21"/>
          <w:lang w:bidi="ar"/>
        </w:rPr>
      </w:pPr>
    </w:p>
    <w:p>
      <w:pPr>
        <w:pStyle w:val="9"/>
        <w:rPr>
          <w:rFonts w:cs="Times New Roman"/>
          <w:kern w:val="0"/>
          <w:szCs w:val="20"/>
        </w:rPr>
      </w:pPr>
    </w:p>
    <w:bookmarkEnd w:id="10"/>
    <w:p>
      <w:r>
        <w:rPr>
          <w:color w:val="FF0000"/>
        </w:rPr>
        <w:t xml:space="preserve">                        </w:t>
      </w:r>
      <w:r>
        <w:t xml:space="preserve"> </w:t>
      </w:r>
      <w:r>
        <w:rPr>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1"/>
      <w:suff w:val="nothing"/>
      <w:lvlText w:val="%1.%2　"/>
      <w:lvlJc w:val="left"/>
      <w:pPr>
        <w:ind w:left="2127"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142"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
    <w:nsid w:val="3FD04E99"/>
    <w:multiLevelType w:val="multilevel"/>
    <w:tmpl w:val="3FD04E99"/>
    <w:lvl w:ilvl="0" w:tentative="0">
      <w:start w:val="1"/>
      <w:numFmt w:val="decimal"/>
      <w:pStyle w:val="1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0YTljYTZkNWYzYzI5NzhhMmZkZWNiY2JjYmUyZWUifQ=="/>
  </w:docVars>
  <w:rsids>
    <w:rsidRoot w:val="00297FA8"/>
    <w:rsid w:val="000A5A21"/>
    <w:rsid w:val="001F49A2"/>
    <w:rsid w:val="00297FA8"/>
    <w:rsid w:val="002B50BA"/>
    <w:rsid w:val="0073661A"/>
    <w:rsid w:val="00854FAF"/>
    <w:rsid w:val="00AC6C99"/>
    <w:rsid w:val="00C87EC9"/>
    <w:rsid w:val="00CB7F9C"/>
    <w:rsid w:val="00CD5C6A"/>
    <w:rsid w:val="00E04656"/>
    <w:rsid w:val="2F174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uiPriority w:val="1"/>
  </w:style>
  <w:style w:type="table" w:default="1" w:styleId="4">
    <w:name w:val="Normal Table"/>
    <w:autoRedefine/>
    <w:semiHidden/>
    <w:unhideWhenUsed/>
    <w:uiPriority w:val="99"/>
    <w:tblPr>
      <w:tblCellMar>
        <w:top w:w="0" w:type="dxa"/>
        <w:left w:w="108" w:type="dxa"/>
        <w:bottom w:w="0" w:type="dxa"/>
        <w:right w:w="108" w:type="dxa"/>
      </w:tblCellMar>
    </w:tblPr>
  </w:style>
  <w:style w:type="paragraph" w:styleId="2">
    <w:name w:val="footer"/>
    <w:basedOn w:val="1"/>
    <w:link w:val="7"/>
    <w:autoRedefine/>
    <w:unhideWhenUsed/>
    <w:uiPriority w:val="99"/>
    <w:pPr>
      <w:tabs>
        <w:tab w:val="center" w:pos="4153"/>
        <w:tab w:val="right" w:pos="8306"/>
      </w:tabs>
      <w:snapToGrid w:val="0"/>
      <w:jc w:val="left"/>
    </w:pPr>
    <w:rPr>
      <w:sz w:val="18"/>
      <w:szCs w:val="18"/>
    </w:rPr>
  </w:style>
  <w:style w:type="paragraph" w:styleId="3">
    <w:name w:val="header"/>
    <w:basedOn w:val="1"/>
    <w:link w:val="6"/>
    <w:autoRedefine/>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character" w:customStyle="1" w:styleId="8">
    <w:name w:val="段 Char"/>
    <w:link w:val="9"/>
    <w:locked/>
    <w:uiPriority w:val="0"/>
    <w:rPr>
      <w:rFonts w:ascii="宋体" w:hAnsi="宋体" w:eastAsia="宋体"/>
    </w:rPr>
  </w:style>
  <w:style w:type="paragraph" w:customStyle="1" w:styleId="9">
    <w:name w:val="段"/>
    <w:link w:val="8"/>
    <w:uiPriority w:val="0"/>
    <w:pPr>
      <w:tabs>
        <w:tab w:val="center" w:pos="4201"/>
        <w:tab w:val="right" w:leader="dot" w:pos="9298"/>
      </w:tabs>
      <w:autoSpaceDE w:val="0"/>
      <w:autoSpaceDN w:val="0"/>
      <w:ind w:firstLine="420" w:firstLineChars="200"/>
      <w:jc w:val="both"/>
    </w:pPr>
    <w:rPr>
      <w:rFonts w:ascii="宋体" w:hAnsi="宋体" w:eastAsia="宋体" w:cstheme="minorBidi"/>
      <w:kern w:val="2"/>
      <w:sz w:val="21"/>
      <w:szCs w:val="22"/>
      <w:lang w:val="en-US" w:eastAsia="zh-CN" w:bidi="ar-SA"/>
    </w:rPr>
  </w:style>
  <w:style w:type="character" w:customStyle="1" w:styleId="10">
    <w:name w:val="一级条标题 Char Char"/>
    <w:link w:val="11"/>
    <w:autoRedefine/>
    <w:locked/>
    <w:uiPriority w:val="0"/>
    <w:rPr>
      <w:rFonts w:ascii="黑体" w:hAnsi="黑体" w:eastAsia="黑体"/>
      <w:szCs w:val="21"/>
    </w:rPr>
  </w:style>
  <w:style w:type="paragraph" w:customStyle="1" w:styleId="11">
    <w:name w:val="一级条标题"/>
    <w:next w:val="9"/>
    <w:link w:val="10"/>
    <w:autoRedefine/>
    <w:qFormat/>
    <w:uiPriority w:val="0"/>
    <w:pPr>
      <w:numPr>
        <w:ilvl w:val="1"/>
        <w:numId w:val="1"/>
      </w:numPr>
      <w:spacing w:beforeLines="50" w:afterLines="50"/>
      <w:ind w:left="4254"/>
      <w:outlineLvl w:val="2"/>
    </w:pPr>
    <w:rPr>
      <w:rFonts w:ascii="黑体" w:hAnsi="黑体" w:eastAsia="黑体" w:cstheme="minorBidi"/>
      <w:kern w:val="2"/>
      <w:sz w:val="21"/>
      <w:szCs w:val="21"/>
      <w:lang w:val="en-US" w:eastAsia="zh-CN" w:bidi="ar-SA"/>
    </w:rPr>
  </w:style>
  <w:style w:type="paragraph" w:customStyle="1" w:styleId="12">
    <w:name w:val="章标题"/>
    <w:next w:val="9"/>
    <w:autoRedefine/>
    <w:qFormat/>
    <w:uiPriority w:val="0"/>
    <w:pPr>
      <w:numPr>
        <w:ilvl w:val="0"/>
        <w:numId w:val="2"/>
      </w:num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13">
    <w:name w:val="目次、标准名称标题"/>
    <w:basedOn w:val="1"/>
    <w:next w:val="9"/>
    <w:autoRedefine/>
    <w:uiPriority w:val="0"/>
    <w:pPr>
      <w:keepNext/>
      <w:pageBreakBefore/>
      <w:widowControl/>
      <w:shd w:val="clear" w:color="auto" w:fill="FFFFFF"/>
      <w:spacing w:before="640" w:after="560" w:line="460" w:lineRule="exact"/>
      <w:jc w:val="center"/>
      <w:outlineLvl w:val="0"/>
    </w:pPr>
    <w:rPr>
      <w:rFonts w:ascii="黑体" w:eastAsia="黑体"/>
      <w:kern w:val="0"/>
      <w:sz w:val="32"/>
      <w:szCs w:val="20"/>
    </w:rPr>
  </w:style>
  <w:style w:type="paragraph" w:customStyle="1" w:styleId="14">
    <w:name w:val="前言、引言标题"/>
    <w:next w:val="9"/>
    <w:autoRedefine/>
    <w:uiPriority w:val="0"/>
    <w:pPr>
      <w:keepNext/>
      <w:pageBreakBefore/>
      <w:shd w:val="clear" w:color="auto"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15">
    <w:name w:val="文献分类号"/>
    <w:autoRedefine/>
    <w:uiPriority w:val="0"/>
    <w:pPr>
      <w:framePr w:hSpace="180" w:vSpace="180" w:wrap="around" w:vAnchor="margin" w:hAnchor="margin" w:y="1" w:anchorLock="1"/>
      <w:widowControl w:val="0"/>
    </w:pPr>
    <w:rPr>
      <w:rFonts w:ascii="黑体" w:hAnsi="Times New Roman" w:eastAsia="黑体" w:cs="Times New Roman"/>
      <w:kern w:val="0"/>
      <w:sz w:val="21"/>
      <w:szCs w:val="21"/>
      <w:lang w:val="en-US" w:eastAsia="zh-CN" w:bidi="ar-SA"/>
    </w:rPr>
  </w:style>
  <w:style w:type="paragraph" w:styleId="16">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567</Words>
  <Characters>3234</Characters>
  <Lines>26</Lines>
  <Paragraphs>7</Paragraphs>
  <TotalTime>6</TotalTime>
  <ScaleCrop>false</ScaleCrop>
  <LinksUpToDate>false</LinksUpToDate>
  <CharactersWithSpaces>3794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2024-02-01T04:45:00Z</dcterms:created>
  <dc:creator>PC</dc:creator>
  <cp:lastModifiedBy>娜娜</cp:lastModifiedBy>
  <dcterms:modified xsi:type="dcterms:W3CDTF">2024-02-02T07:04:46Z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C7CA938C083E4E018D5D4CE853AA1A65_12</vt:lpwstr>
  </property>
</Properties>
</file>